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1AF88" w14:textId="01111742" w:rsidR="001F7AF2" w:rsidRPr="00926A68" w:rsidRDefault="001F7AF2" w:rsidP="00926A68">
      <w:pPr>
        <w:jc w:val="center"/>
        <w:outlineLvl w:val="0"/>
        <w:rPr>
          <w:rFonts w:ascii="IBM Plex Sans" w:hAnsi="IBM Plex Sans"/>
          <w:b/>
          <w:sz w:val="20"/>
          <w:szCs w:val="20"/>
        </w:rPr>
      </w:pPr>
      <w:r w:rsidRPr="00926A68">
        <w:rPr>
          <w:rFonts w:ascii="IBM Plex Sans" w:hAnsi="IBM Plex Sans"/>
          <w:b/>
          <w:sz w:val="20"/>
          <w:szCs w:val="20"/>
        </w:rPr>
        <w:t>Schiedsvereinbarung</w:t>
      </w:r>
      <w:r w:rsidR="00733E98" w:rsidRPr="00926A68">
        <w:rPr>
          <w:rFonts w:ascii="IBM Plex Sans" w:hAnsi="IBM Plex Sans" w:cs="Tahoma"/>
          <w:b/>
          <w:bCs/>
          <w:sz w:val="20"/>
          <w:szCs w:val="20"/>
        </w:rPr>
        <w:t xml:space="preserve"> (</w:t>
      </w:r>
      <w:r w:rsidR="00273DAC" w:rsidRPr="00926A68">
        <w:rPr>
          <w:rFonts w:ascii="IBM Plex Sans" w:hAnsi="IBM Plex Sans" w:cs="Tahoma"/>
          <w:b/>
          <w:bCs/>
          <w:sz w:val="20"/>
          <w:szCs w:val="20"/>
        </w:rPr>
        <w:t xml:space="preserve">EHF </w:t>
      </w:r>
      <w:r w:rsidR="00835B11">
        <w:rPr>
          <w:rFonts w:ascii="IBM Plex Sans" w:hAnsi="IBM Plex Sans" w:cs="Tahoma"/>
          <w:b/>
          <w:bCs/>
          <w:sz w:val="20"/>
          <w:szCs w:val="20"/>
        </w:rPr>
        <w:t>Klubbewerbe Saison</w:t>
      </w:r>
      <w:r w:rsidR="00733E98" w:rsidRPr="00926A68">
        <w:rPr>
          <w:rFonts w:ascii="IBM Plex Sans" w:hAnsi="IBM Plex Sans" w:cs="Tahoma"/>
          <w:b/>
          <w:bCs/>
          <w:sz w:val="20"/>
          <w:szCs w:val="20"/>
        </w:rPr>
        <w:t xml:space="preserve"> </w:t>
      </w:r>
      <w:r w:rsidR="00825EE8" w:rsidRPr="00926A68">
        <w:rPr>
          <w:rFonts w:ascii="IBM Plex Sans" w:hAnsi="IBM Plex Sans" w:cs="Tahoma"/>
          <w:b/>
          <w:bCs/>
          <w:sz w:val="20"/>
          <w:szCs w:val="20"/>
        </w:rPr>
        <w:t>202</w:t>
      </w:r>
      <w:r w:rsidR="00AD0EAA" w:rsidRPr="00926A68">
        <w:rPr>
          <w:rFonts w:ascii="IBM Plex Sans" w:hAnsi="IBM Plex Sans" w:cs="Tahoma"/>
          <w:b/>
          <w:bCs/>
          <w:sz w:val="20"/>
          <w:szCs w:val="20"/>
        </w:rPr>
        <w:t>2</w:t>
      </w:r>
      <w:r w:rsidR="00825EE8" w:rsidRPr="00926A68">
        <w:rPr>
          <w:rFonts w:ascii="IBM Plex Sans" w:hAnsi="IBM Plex Sans" w:cs="Tahoma"/>
          <w:b/>
          <w:bCs/>
          <w:sz w:val="20"/>
          <w:szCs w:val="20"/>
        </w:rPr>
        <w:t>/2</w:t>
      </w:r>
      <w:r w:rsidR="00AD0EAA" w:rsidRPr="00926A68">
        <w:rPr>
          <w:rFonts w:ascii="IBM Plex Sans" w:hAnsi="IBM Plex Sans" w:cs="Tahoma"/>
          <w:b/>
          <w:bCs/>
          <w:sz w:val="20"/>
          <w:szCs w:val="20"/>
        </w:rPr>
        <w:t>3</w:t>
      </w:r>
      <w:r w:rsidR="00733E98" w:rsidRPr="00926A68">
        <w:rPr>
          <w:rFonts w:ascii="IBM Plex Sans" w:hAnsi="IBM Plex Sans" w:cs="Tahoma"/>
          <w:b/>
          <w:bCs/>
          <w:sz w:val="20"/>
          <w:szCs w:val="20"/>
        </w:rPr>
        <w:t>)</w:t>
      </w:r>
    </w:p>
    <w:p w14:paraId="3327E71F" w14:textId="77777777" w:rsidR="001F7AF2" w:rsidRPr="00926A68" w:rsidRDefault="001F7AF2" w:rsidP="00926A68">
      <w:pPr>
        <w:jc w:val="center"/>
        <w:outlineLvl w:val="0"/>
        <w:rPr>
          <w:rFonts w:ascii="IBM Plex Sans" w:hAnsi="IBM Plex Sans"/>
          <w:sz w:val="20"/>
          <w:szCs w:val="20"/>
        </w:rPr>
      </w:pPr>
      <w:r w:rsidRPr="00926A68">
        <w:rPr>
          <w:rFonts w:ascii="IBM Plex Sans" w:hAnsi="IBM Plex Sans"/>
          <w:sz w:val="20"/>
          <w:szCs w:val="20"/>
        </w:rPr>
        <w:t>(gem § 582 öZPO)</w:t>
      </w:r>
    </w:p>
    <w:p w14:paraId="1CDA6DA0" w14:textId="598A8364" w:rsidR="001F7AF2" w:rsidRPr="00926A68" w:rsidRDefault="00835B11" w:rsidP="00926A68">
      <w:pPr>
        <w:rPr>
          <w:rFonts w:ascii="IBM Plex Sans" w:hAnsi="IBM Plex Sans"/>
          <w:sz w:val="20"/>
          <w:szCs w:val="20"/>
        </w:rPr>
      </w:pPr>
      <w:r>
        <w:rPr>
          <w:rFonts w:ascii="IBM Plex Sans" w:hAnsi="IBM Plex Sans"/>
          <w:sz w:val="20"/>
          <w:szCs w:val="20"/>
        </w:rPr>
        <w:t>“</w:t>
      </w:r>
      <w:r w:rsidR="00897291" w:rsidRPr="00926A68">
        <w:rPr>
          <w:rFonts w:ascii="IBM Plex Sans" w:hAnsi="IBM Plex Sans"/>
          <w:sz w:val="20"/>
          <w:szCs w:val="20"/>
        </w:rPr>
        <w:t xml:space="preserve">Alle Streitigkeiten zwischen der EHF und </w:t>
      </w:r>
      <w:r w:rsidR="00897291" w:rsidRPr="00926A68">
        <w:rPr>
          <w:rFonts w:ascii="IBM Plex Sans" w:hAnsi="IBM Plex Sans" w:cs="Tahoma"/>
          <w:sz w:val="20"/>
          <w:szCs w:val="20"/>
        </w:rPr>
        <w:t>den Klubs, den</w:t>
      </w:r>
      <w:r w:rsidR="00897291" w:rsidRPr="00926A68">
        <w:rPr>
          <w:rFonts w:ascii="IBM Plex Sans" w:hAnsi="IBM Plex Sans"/>
          <w:sz w:val="20"/>
          <w:szCs w:val="20"/>
        </w:rPr>
        <w:t xml:space="preserve"> nationalen </w:t>
      </w:r>
      <w:r w:rsidR="00897291" w:rsidRPr="00926A68">
        <w:rPr>
          <w:rFonts w:ascii="IBM Plex Sans" w:hAnsi="IBM Plex Sans" w:cs="Tahoma"/>
          <w:sz w:val="20"/>
          <w:szCs w:val="20"/>
        </w:rPr>
        <w:t>Verbänden</w:t>
      </w:r>
      <w:r w:rsidR="00897291" w:rsidRPr="00926A68">
        <w:rPr>
          <w:rFonts w:ascii="IBM Plex Sans" w:hAnsi="IBM Plex Sans"/>
          <w:sz w:val="20"/>
          <w:szCs w:val="20"/>
        </w:rPr>
        <w:t xml:space="preserve"> und </w:t>
      </w:r>
      <w:r w:rsidR="00897291" w:rsidRPr="00926A68">
        <w:rPr>
          <w:rFonts w:ascii="IBM Plex Sans" w:hAnsi="IBM Plex Sans" w:cs="Tahoma"/>
          <w:sz w:val="20"/>
          <w:szCs w:val="20"/>
        </w:rPr>
        <w:t>ihren Klubs bzw. zwischen Klubs bei grenz</w:t>
      </w:r>
      <w:r w:rsidR="005D3367" w:rsidRPr="00926A68">
        <w:rPr>
          <w:rFonts w:ascii="IBM Plex Sans" w:hAnsi="IBM Plex Sans" w:cs="Tahoma"/>
          <w:sz w:val="20"/>
          <w:szCs w:val="20"/>
        </w:rPr>
        <w:t>überschreitendem Sachverhalt</w:t>
      </w:r>
      <w:r w:rsidR="005D3367" w:rsidRPr="00926A68">
        <w:rPr>
          <w:rFonts w:ascii="IBM Plex Sans" w:hAnsi="IBM Plex Sans"/>
          <w:sz w:val="20"/>
          <w:szCs w:val="20"/>
        </w:rPr>
        <w:t xml:space="preserve"> sowie </w:t>
      </w:r>
      <w:r w:rsidR="00BA0EFD" w:rsidRPr="00926A68">
        <w:rPr>
          <w:rFonts w:ascii="IBM Plex Sans" w:hAnsi="IBM Plex Sans"/>
          <w:sz w:val="20"/>
          <w:szCs w:val="20"/>
        </w:rPr>
        <w:t>allen Streitigkeiten</w:t>
      </w:r>
      <w:r w:rsidR="00897291" w:rsidRPr="00926A68">
        <w:rPr>
          <w:rFonts w:ascii="IBM Plex Sans" w:hAnsi="IBM Plex Sans"/>
          <w:sz w:val="20"/>
          <w:szCs w:val="20"/>
        </w:rPr>
        <w:t xml:space="preserve"> im Zusammenhang mit EHF Wettbewerben </w:t>
      </w:r>
      <w:r w:rsidR="001F7AF2" w:rsidRPr="00926A68">
        <w:rPr>
          <w:rFonts w:ascii="IBM Plex Sans" w:hAnsi="IBM Plex Sans"/>
          <w:sz w:val="20"/>
          <w:szCs w:val="20"/>
        </w:rPr>
        <w:t>werden</w:t>
      </w:r>
      <w:r w:rsidR="005D3367" w:rsidRPr="00926A68">
        <w:rPr>
          <w:rFonts w:ascii="IBM Plex Sans" w:hAnsi="IBM Plex Sans"/>
          <w:sz w:val="20"/>
          <w:szCs w:val="20"/>
        </w:rPr>
        <w:t xml:space="preserve"> nach Ausschöpfung des EHF internen Instanzenzuges</w:t>
      </w:r>
      <w:r w:rsidR="001F7AF2" w:rsidRPr="00926A68">
        <w:rPr>
          <w:rFonts w:ascii="IBM Plex Sans" w:hAnsi="IBM Plex Sans"/>
          <w:sz w:val="20"/>
          <w:szCs w:val="20"/>
        </w:rPr>
        <w:t xml:space="preserve"> vom </w:t>
      </w:r>
      <w:r w:rsidR="00F24E99" w:rsidRPr="00926A68">
        <w:rPr>
          <w:rFonts w:ascii="IBM Plex Sans" w:hAnsi="IBM Plex Sans"/>
          <w:sz w:val="20"/>
          <w:szCs w:val="20"/>
        </w:rPr>
        <w:t>Europäischen Handball</w:t>
      </w:r>
      <w:r w:rsidR="005D3367" w:rsidRPr="00926A68">
        <w:rPr>
          <w:rFonts w:ascii="IBM Plex Sans" w:hAnsi="IBM Plex Sans"/>
          <w:sz w:val="20"/>
          <w:szCs w:val="20"/>
        </w:rPr>
        <w:t xml:space="preserve"> </w:t>
      </w:r>
      <w:r w:rsidR="001F7AF2" w:rsidRPr="00926A68">
        <w:rPr>
          <w:rFonts w:ascii="IBM Plex Sans" w:hAnsi="IBM Plex Sans"/>
          <w:sz w:val="20"/>
          <w:szCs w:val="20"/>
        </w:rPr>
        <w:t>Schiedsgericht</w:t>
      </w:r>
      <w:r w:rsidR="00B03DAC" w:rsidRPr="00926A68">
        <w:rPr>
          <w:rFonts w:ascii="IBM Plex Sans" w:hAnsi="IBM Plex Sans"/>
          <w:sz w:val="20"/>
          <w:szCs w:val="20"/>
        </w:rPr>
        <w:t xml:space="preserve"> entschieden</w:t>
      </w:r>
      <w:r w:rsidR="00897291" w:rsidRPr="00926A68">
        <w:rPr>
          <w:rFonts w:ascii="IBM Plex Sans" w:hAnsi="IBM Plex Sans"/>
          <w:sz w:val="20"/>
          <w:szCs w:val="20"/>
        </w:rPr>
        <w:t xml:space="preserve">. Dieses </w:t>
      </w:r>
      <w:r w:rsidR="00B03DAC" w:rsidRPr="00926A68">
        <w:rPr>
          <w:rFonts w:ascii="IBM Plex Sans" w:hAnsi="IBM Plex Sans"/>
          <w:sz w:val="20"/>
          <w:szCs w:val="20"/>
        </w:rPr>
        <w:t>ersetz</w:t>
      </w:r>
      <w:r w:rsidR="00897291" w:rsidRPr="00926A68">
        <w:rPr>
          <w:rFonts w:ascii="IBM Plex Sans" w:hAnsi="IBM Plex Sans"/>
          <w:sz w:val="20"/>
          <w:szCs w:val="20"/>
        </w:rPr>
        <w:t>t</w:t>
      </w:r>
      <w:r w:rsidR="00B03DAC" w:rsidRPr="00926A68">
        <w:rPr>
          <w:rFonts w:ascii="IBM Plex Sans" w:hAnsi="IBM Plex Sans"/>
          <w:sz w:val="20"/>
          <w:szCs w:val="20"/>
        </w:rPr>
        <w:t xml:space="preserve"> ein Verfahren vor einem ordentlichen Gericht.</w:t>
      </w:r>
    </w:p>
    <w:p w14:paraId="02AC530B" w14:textId="77777777" w:rsidR="00B03DAC" w:rsidRPr="00926A68" w:rsidRDefault="00B03DAC" w:rsidP="00926A68">
      <w:pPr>
        <w:pStyle w:val="Textkrper"/>
        <w:ind w:right="400"/>
        <w:rPr>
          <w:rFonts w:ascii="IBM Plex Sans" w:hAnsi="IBM Plex Sans"/>
          <w:lang w:val="de-DE"/>
        </w:rPr>
      </w:pPr>
    </w:p>
    <w:p w14:paraId="27FA7E27" w14:textId="77777777" w:rsidR="001F7AF2" w:rsidRPr="00926A68" w:rsidRDefault="001F7AF2" w:rsidP="00926A68">
      <w:pPr>
        <w:pStyle w:val="Textkrper"/>
        <w:ind w:right="400"/>
        <w:jc w:val="both"/>
        <w:rPr>
          <w:rFonts w:ascii="IBM Plex Sans" w:hAnsi="IBM Plex Sans"/>
          <w:lang w:val="de-DE"/>
        </w:rPr>
      </w:pPr>
      <w:r w:rsidRPr="00926A68">
        <w:rPr>
          <w:rFonts w:ascii="IBM Plex Sans" w:hAnsi="IBM Plex Sans"/>
          <w:lang w:val="de-DE"/>
        </w:rPr>
        <w:t>Sitz des Schiedsgerichtes ist Wien, Österreich. Verfahrenssprache ist Englisch.</w:t>
      </w:r>
    </w:p>
    <w:p w14:paraId="4FC657A4" w14:textId="77777777" w:rsidR="001F7AF2" w:rsidRPr="00926A68" w:rsidRDefault="001F7AF2" w:rsidP="00926A68">
      <w:pPr>
        <w:pStyle w:val="Textkrper"/>
        <w:ind w:right="400"/>
        <w:rPr>
          <w:rFonts w:ascii="IBM Plex Sans" w:hAnsi="IBM Plex Sans"/>
          <w:lang w:val="de-DE"/>
        </w:rPr>
      </w:pPr>
    </w:p>
    <w:p w14:paraId="071D0546" w14:textId="581EBCD5" w:rsidR="001F7AF2" w:rsidRPr="00926A68" w:rsidRDefault="001F7AF2" w:rsidP="00926A68">
      <w:pPr>
        <w:pStyle w:val="Textkrper"/>
        <w:ind w:right="400" w:hanging="1"/>
        <w:jc w:val="both"/>
        <w:rPr>
          <w:rFonts w:ascii="IBM Plex Sans" w:hAnsi="IBM Plex Sans"/>
          <w:lang w:val="de-DE"/>
        </w:rPr>
      </w:pPr>
      <w:r w:rsidRPr="00926A68">
        <w:rPr>
          <w:rFonts w:ascii="IBM Plex Sans" w:hAnsi="IBM Plex Sans"/>
          <w:lang w:val="de-DE"/>
        </w:rPr>
        <w:t xml:space="preserve">Es gelten die Schiedsordnung des </w:t>
      </w:r>
      <w:r w:rsidR="00F24E99" w:rsidRPr="00926A68">
        <w:rPr>
          <w:rFonts w:ascii="IBM Plex Sans" w:hAnsi="IBM Plex Sans"/>
          <w:lang w:val="de-DE"/>
        </w:rPr>
        <w:t>Europäischen Handball</w:t>
      </w:r>
      <w:r w:rsidRPr="00926A68">
        <w:rPr>
          <w:rFonts w:ascii="IBM Plex Sans" w:hAnsi="IBM Plex Sans"/>
          <w:lang w:val="de-DE"/>
        </w:rPr>
        <w:t xml:space="preserve"> Schiedsgerichtes und die zwingenden Vorschriften des Vierten Abschnitts der österreichischen Zivilprozessordnung (§§ 577 ff ZPO). Im Übrigen bestimmt das Schiedsgericht das Verfahren nach freiem Ermessen. In allen nicht geregelten Fällen gelten die §§ 577 ff der österreichischen Zivilprozessordnung subsidiär.</w:t>
      </w:r>
    </w:p>
    <w:p w14:paraId="7F6007F9" w14:textId="77777777" w:rsidR="001F7AF2" w:rsidRPr="00926A68" w:rsidRDefault="001F7AF2" w:rsidP="00926A68">
      <w:pPr>
        <w:rPr>
          <w:rFonts w:ascii="IBM Plex Sans" w:hAnsi="IBM Plex Sans"/>
          <w:sz w:val="20"/>
          <w:szCs w:val="20"/>
        </w:rPr>
      </w:pPr>
    </w:p>
    <w:p w14:paraId="221EC87B" w14:textId="1D2C4F69" w:rsidR="001F7AF2" w:rsidRPr="00926A68" w:rsidRDefault="001F7AF2" w:rsidP="00926A68">
      <w:pPr>
        <w:rPr>
          <w:rFonts w:ascii="IBM Plex Sans" w:hAnsi="IBM Plex Sans"/>
          <w:sz w:val="20"/>
          <w:szCs w:val="20"/>
        </w:rPr>
      </w:pPr>
      <w:r w:rsidRPr="00926A68">
        <w:rPr>
          <w:rFonts w:ascii="IBM Plex Sans" w:hAnsi="IBM Plex Sans"/>
          <w:sz w:val="20"/>
          <w:szCs w:val="20"/>
        </w:rPr>
        <w:t xml:space="preserve">Die Unterfertigenden bestätigen den Erhalt der Schiedsordnung </w:t>
      </w:r>
      <w:r w:rsidR="00223558" w:rsidRPr="00223558">
        <w:rPr>
          <w:rFonts w:ascii="IBM Plex Sans" w:hAnsi="IBM Plex Sans"/>
          <w:sz w:val="20"/>
          <w:szCs w:val="20"/>
        </w:rPr>
        <w:t>des Europäischen Handball</w:t>
      </w:r>
      <w:r w:rsidRPr="00926A68">
        <w:rPr>
          <w:rFonts w:ascii="IBM Plex Sans" w:hAnsi="IBM Plex Sans"/>
          <w:sz w:val="20"/>
          <w:szCs w:val="20"/>
        </w:rPr>
        <w:t xml:space="preserve"> Schiedsgerichtes (ECA</w:t>
      </w:r>
      <w:r w:rsidRPr="00926A68">
        <w:rPr>
          <w:rFonts w:ascii="IBM Plex Sans" w:hAnsi="IBM Plex Sans" w:cs="Tahoma"/>
          <w:sz w:val="20"/>
          <w:szCs w:val="20"/>
        </w:rPr>
        <w:t>)</w:t>
      </w:r>
      <w:r w:rsidR="000855C0" w:rsidRPr="00926A68">
        <w:rPr>
          <w:rFonts w:ascii="IBM Plex Sans" w:hAnsi="IBM Plex Sans" w:cs="Tahoma"/>
          <w:sz w:val="20"/>
          <w:szCs w:val="20"/>
        </w:rPr>
        <w:t xml:space="preserve"> und akzeptieren die gegenständliche Schiedsvereinbarung</w:t>
      </w:r>
      <w:r w:rsidRPr="00926A68">
        <w:rPr>
          <w:rFonts w:ascii="IBM Plex Sans" w:hAnsi="IBM Plex Sans" w:cs="Tahoma"/>
          <w:sz w:val="20"/>
          <w:szCs w:val="20"/>
        </w:rPr>
        <w:t>.“</w:t>
      </w:r>
    </w:p>
    <w:p w14:paraId="11FDD540" w14:textId="77777777" w:rsidR="009B073E" w:rsidRPr="00926A68" w:rsidRDefault="009B073E" w:rsidP="00926A68">
      <w:pPr>
        <w:jc w:val="center"/>
        <w:outlineLvl w:val="0"/>
        <w:rPr>
          <w:rFonts w:ascii="IBM Plex Sans" w:hAnsi="IBM Plex Sans"/>
          <w:b/>
          <w:sz w:val="20"/>
          <w:szCs w:val="20"/>
        </w:rPr>
      </w:pPr>
    </w:p>
    <w:p w14:paraId="51EAC56D" w14:textId="5F60BBD1" w:rsidR="001F7AF2" w:rsidRPr="00926A68" w:rsidRDefault="001F7AF2" w:rsidP="00926A68">
      <w:pPr>
        <w:jc w:val="center"/>
        <w:outlineLvl w:val="0"/>
        <w:rPr>
          <w:rFonts w:ascii="IBM Plex Sans" w:hAnsi="IBM Plex Sans"/>
          <w:b/>
          <w:sz w:val="20"/>
          <w:szCs w:val="20"/>
          <w:lang w:val="en-GB"/>
        </w:rPr>
      </w:pPr>
      <w:r w:rsidRPr="00926A68">
        <w:rPr>
          <w:rFonts w:ascii="IBM Plex Sans" w:hAnsi="IBM Plex Sans"/>
          <w:b/>
          <w:sz w:val="20"/>
          <w:szCs w:val="20"/>
          <w:lang w:val="en-GB"/>
        </w:rPr>
        <w:t>Arbitration Agreement</w:t>
      </w:r>
      <w:r w:rsidR="00733E98" w:rsidRPr="00926A68">
        <w:rPr>
          <w:rFonts w:ascii="IBM Plex Sans" w:hAnsi="IBM Plex Sans" w:cs="Tahoma"/>
          <w:b/>
          <w:bCs/>
          <w:sz w:val="20"/>
          <w:szCs w:val="20"/>
          <w:lang w:val="en-GB"/>
        </w:rPr>
        <w:t xml:space="preserve"> </w:t>
      </w:r>
      <w:r w:rsidR="00273DAC" w:rsidRPr="00926A68">
        <w:rPr>
          <w:rFonts w:ascii="IBM Plex Sans" w:hAnsi="IBM Plex Sans" w:cs="Tahoma"/>
          <w:b/>
          <w:bCs/>
          <w:sz w:val="20"/>
          <w:szCs w:val="20"/>
          <w:lang w:val="en-GB"/>
        </w:rPr>
        <w:t xml:space="preserve">(EHF club competitions season </w:t>
      </w:r>
      <w:r w:rsidR="00825EE8" w:rsidRPr="00926A68">
        <w:rPr>
          <w:rFonts w:ascii="IBM Plex Sans" w:hAnsi="IBM Plex Sans" w:cs="Tahoma"/>
          <w:b/>
          <w:bCs/>
          <w:sz w:val="20"/>
          <w:szCs w:val="20"/>
          <w:lang w:val="en-US"/>
        </w:rPr>
        <w:t>202</w:t>
      </w:r>
      <w:r w:rsidR="00926A68" w:rsidRPr="00926A68">
        <w:rPr>
          <w:rFonts w:ascii="IBM Plex Sans" w:hAnsi="IBM Plex Sans" w:cs="Tahoma"/>
          <w:b/>
          <w:bCs/>
          <w:sz w:val="20"/>
          <w:szCs w:val="20"/>
          <w:lang w:val="en-US"/>
        </w:rPr>
        <w:t>2</w:t>
      </w:r>
      <w:r w:rsidR="00825EE8" w:rsidRPr="00926A68">
        <w:rPr>
          <w:rFonts w:ascii="IBM Plex Sans" w:hAnsi="IBM Plex Sans" w:cs="Tahoma"/>
          <w:b/>
          <w:bCs/>
          <w:sz w:val="20"/>
          <w:szCs w:val="20"/>
          <w:lang w:val="en-US"/>
        </w:rPr>
        <w:t>/2</w:t>
      </w:r>
      <w:r w:rsidR="001C1CD2">
        <w:rPr>
          <w:rFonts w:ascii="IBM Plex Sans" w:hAnsi="IBM Plex Sans" w:cs="Tahoma"/>
          <w:b/>
          <w:bCs/>
          <w:sz w:val="20"/>
          <w:szCs w:val="20"/>
          <w:lang w:val="en-US"/>
        </w:rPr>
        <w:t>3</w:t>
      </w:r>
      <w:r w:rsidR="00273DAC" w:rsidRPr="00926A68">
        <w:rPr>
          <w:rFonts w:ascii="IBM Plex Sans" w:hAnsi="IBM Plex Sans" w:cs="Tahoma"/>
          <w:b/>
          <w:bCs/>
          <w:sz w:val="20"/>
          <w:szCs w:val="20"/>
          <w:lang w:val="en-GB"/>
        </w:rPr>
        <w:t>)</w:t>
      </w:r>
    </w:p>
    <w:p w14:paraId="36A4C3E2" w14:textId="77777777" w:rsidR="001F7AF2" w:rsidRPr="00926A68" w:rsidRDefault="001F7AF2" w:rsidP="00926A68">
      <w:pPr>
        <w:jc w:val="center"/>
        <w:outlineLvl w:val="0"/>
        <w:rPr>
          <w:rFonts w:ascii="IBM Plex Sans" w:hAnsi="IBM Plex Sans"/>
          <w:sz w:val="20"/>
          <w:szCs w:val="20"/>
          <w:lang w:val="en-GB"/>
        </w:rPr>
      </w:pPr>
      <w:r w:rsidRPr="00926A68">
        <w:rPr>
          <w:rFonts w:ascii="IBM Plex Sans" w:hAnsi="IBM Plex Sans"/>
          <w:sz w:val="20"/>
          <w:szCs w:val="20"/>
          <w:lang w:val="en-GB"/>
        </w:rPr>
        <w:t>(acc § 582 Austrian ZPO)</w:t>
      </w:r>
    </w:p>
    <w:p w14:paraId="69FB9468" w14:textId="17D60645" w:rsidR="001F7AF2" w:rsidRPr="00926A68" w:rsidRDefault="00835B11" w:rsidP="00926A68">
      <w:pPr>
        <w:rPr>
          <w:rFonts w:ascii="IBM Plex Sans" w:hAnsi="IBM Plex Sans"/>
          <w:sz w:val="20"/>
          <w:szCs w:val="20"/>
          <w:lang w:val="en-GB"/>
        </w:rPr>
      </w:pPr>
      <w:r>
        <w:rPr>
          <w:rFonts w:ascii="IBM Plex Sans" w:hAnsi="IBM Plex Sans"/>
          <w:sz w:val="20"/>
          <w:szCs w:val="20"/>
          <w:lang w:val="en-GB"/>
        </w:rPr>
        <w:t>“</w:t>
      </w:r>
      <w:r w:rsidR="001F7AF2" w:rsidRPr="00926A68">
        <w:rPr>
          <w:rFonts w:ascii="IBM Plex Sans" w:hAnsi="IBM Plex Sans"/>
          <w:sz w:val="20"/>
          <w:szCs w:val="20"/>
          <w:lang w:val="en-GB"/>
        </w:rPr>
        <w:t xml:space="preserve">Any dispute </w:t>
      </w:r>
      <w:r w:rsidR="00EF0B54" w:rsidRPr="00926A68">
        <w:rPr>
          <w:rFonts w:ascii="IBM Plex Sans" w:hAnsi="IBM Plex Sans"/>
          <w:sz w:val="20"/>
          <w:szCs w:val="20"/>
          <w:lang w:val="en-GB"/>
        </w:rPr>
        <w:t xml:space="preserve">between the EHF and the </w:t>
      </w:r>
      <w:r w:rsidR="00EF0B54" w:rsidRPr="00926A68">
        <w:rPr>
          <w:rFonts w:ascii="IBM Plex Sans" w:hAnsi="IBM Plex Sans" w:cs="Tahoma"/>
          <w:sz w:val="20"/>
          <w:szCs w:val="20"/>
          <w:lang w:val="en-GB"/>
        </w:rPr>
        <w:t>club</w:t>
      </w:r>
      <w:r w:rsidR="00EF0B54" w:rsidRPr="00926A68">
        <w:rPr>
          <w:rFonts w:ascii="IBM Plex Sans" w:hAnsi="IBM Plex Sans"/>
          <w:sz w:val="20"/>
          <w:szCs w:val="20"/>
          <w:lang w:val="en-GB"/>
        </w:rPr>
        <w:t xml:space="preserve">, between </w:t>
      </w:r>
      <w:r w:rsidR="00EF0B54" w:rsidRPr="00926A68">
        <w:rPr>
          <w:rFonts w:ascii="IBM Plex Sans" w:hAnsi="IBM Plex Sans" w:cs="Tahoma"/>
          <w:sz w:val="20"/>
          <w:szCs w:val="20"/>
          <w:lang w:val="en-GB"/>
        </w:rPr>
        <w:t xml:space="preserve">any </w:t>
      </w:r>
      <w:r w:rsidR="00EF0B54" w:rsidRPr="00926A68">
        <w:rPr>
          <w:rFonts w:ascii="IBM Plex Sans" w:hAnsi="IBM Plex Sans"/>
          <w:sz w:val="20"/>
          <w:szCs w:val="20"/>
          <w:lang w:val="en-GB"/>
        </w:rPr>
        <w:t>National Federation member of the EHF</w:t>
      </w:r>
      <w:r w:rsidR="00EF0B54" w:rsidRPr="00926A68">
        <w:rPr>
          <w:rFonts w:ascii="IBM Plex Sans" w:hAnsi="IBM Plex Sans" w:cs="Tahoma"/>
          <w:sz w:val="20"/>
          <w:szCs w:val="20"/>
          <w:lang w:val="en-GB"/>
        </w:rPr>
        <w:t xml:space="preserve"> and the club (in cross-border disputes), between the club and any other club of a National Federation member of the EHF (in cross-border disputes)</w:t>
      </w:r>
      <w:r w:rsidR="00EF0B54" w:rsidRPr="00926A68">
        <w:rPr>
          <w:rFonts w:ascii="IBM Plex Sans" w:hAnsi="IBM Plex Sans"/>
          <w:sz w:val="20"/>
          <w:szCs w:val="20"/>
          <w:lang w:val="en-GB"/>
        </w:rPr>
        <w:t xml:space="preserve"> or any dispute </w:t>
      </w:r>
      <w:r w:rsidR="001F7AF2" w:rsidRPr="00926A68">
        <w:rPr>
          <w:rFonts w:ascii="IBM Plex Sans" w:hAnsi="IBM Plex Sans"/>
          <w:sz w:val="20"/>
          <w:szCs w:val="20"/>
          <w:lang w:val="en-GB"/>
        </w:rPr>
        <w:t xml:space="preserve">arising out of or in connection with </w:t>
      </w:r>
      <w:r w:rsidR="00EF0B54" w:rsidRPr="00926A68">
        <w:rPr>
          <w:rFonts w:ascii="IBM Plex Sans" w:hAnsi="IBM Plex Sans"/>
          <w:sz w:val="20"/>
          <w:szCs w:val="20"/>
          <w:lang w:val="en-GB"/>
        </w:rPr>
        <w:t xml:space="preserve">EHF </w:t>
      </w:r>
      <w:r w:rsidR="001F7AF2" w:rsidRPr="00926A68">
        <w:rPr>
          <w:rFonts w:ascii="IBM Plex Sans" w:hAnsi="IBM Plex Sans"/>
          <w:sz w:val="20"/>
          <w:szCs w:val="20"/>
          <w:lang w:val="en-GB"/>
        </w:rPr>
        <w:t xml:space="preserve">competitions shall be finally settled by arbitration by the </w:t>
      </w:r>
      <w:r w:rsidR="0021579F" w:rsidRPr="00926A68">
        <w:rPr>
          <w:rFonts w:ascii="IBM Plex Sans" w:hAnsi="IBM Plex Sans"/>
          <w:sz w:val="20"/>
          <w:szCs w:val="20"/>
          <w:lang w:val="en-GB"/>
        </w:rPr>
        <w:t>European Handball</w:t>
      </w:r>
      <w:r w:rsidR="001F7AF2" w:rsidRPr="00926A68">
        <w:rPr>
          <w:rFonts w:ascii="IBM Plex Sans" w:hAnsi="IBM Plex Sans"/>
          <w:sz w:val="20"/>
          <w:szCs w:val="20"/>
          <w:lang w:val="en-GB"/>
        </w:rPr>
        <w:t xml:space="preserve"> Court of </w:t>
      </w:r>
      <w:r w:rsidR="00B03DAC" w:rsidRPr="00926A68">
        <w:rPr>
          <w:rFonts w:ascii="IBM Plex Sans" w:hAnsi="IBM Plex Sans"/>
          <w:sz w:val="20"/>
          <w:szCs w:val="20"/>
          <w:lang w:val="en-GB"/>
        </w:rPr>
        <w:t>Arbitration</w:t>
      </w:r>
      <w:r w:rsidR="00EF0B54" w:rsidRPr="00926A68">
        <w:rPr>
          <w:rFonts w:ascii="IBM Plex Sans" w:hAnsi="IBM Plex Sans"/>
          <w:sz w:val="20"/>
          <w:szCs w:val="20"/>
          <w:lang w:val="en-GB"/>
        </w:rPr>
        <w:t>, after exhaustion of all EHF internal legal remedies</w:t>
      </w:r>
      <w:r w:rsidR="00B03DAC" w:rsidRPr="00926A68">
        <w:rPr>
          <w:rFonts w:ascii="IBM Plex Sans" w:hAnsi="IBM Plex Sans"/>
          <w:sz w:val="20"/>
          <w:szCs w:val="20"/>
          <w:lang w:val="en-GB"/>
        </w:rPr>
        <w:t xml:space="preserve">. </w:t>
      </w:r>
      <w:r w:rsidR="0021579F" w:rsidRPr="00926A68">
        <w:rPr>
          <w:rFonts w:ascii="IBM Plex Sans" w:hAnsi="IBM Plex Sans"/>
          <w:sz w:val="20"/>
          <w:szCs w:val="20"/>
          <w:lang w:val="en-GB"/>
        </w:rPr>
        <w:t>European Handball</w:t>
      </w:r>
      <w:r w:rsidR="00641626" w:rsidRPr="00926A68">
        <w:rPr>
          <w:rFonts w:ascii="IBM Plex Sans" w:hAnsi="IBM Plex Sans"/>
          <w:sz w:val="20"/>
          <w:szCs w:val="20"/>
          <w:lang w:val="en-GB"/>
        </w:rPr>
        <w:t xml:space="preserve"> Court of Arbitration proceedings replace ordinary public courts</w:t>
      </w:r>
      <w:r w:rsidR="00B03DAC" w:rsidRPr="00926A68">
        <w:rPr>
          <w:rFonts w:ascii="IBM Plex Sans" w:hAnsi="IBM Plex Sans"/>
          <w:sz w:val="20"/>
          <w:szCs w:val="20"/>
          <w:lang w:val="en-GB"/>
        </w:rPr>
        <w:t xml:space="preserve"> proceedings</w:t>
      </w:r>
      <w:r w:rsidR="00641626" w:rsidRPr="00926A68">
        <w:rPr>
          <w:rFonts w:ascii="IBM Plex Sans" w:hAnsi="IBM Plex Sans"/>
          <w:sz w:val="20"/>
          <w:szCs w:val="20"/>
          <w:lang w:val="en-GB"/>
        </w:rPr>
        <w:t>.</w:t>
      </w:r>
    </w:p>
    <w:p w14:paraId="73795BC7" w14:textId="77777777" w:rsidR="001F7AF2" w:rsidRPr="00926A68" w:rsidRDefault="001F7AF2" w:rsidP="00926A68">
      <w:pPr>
        <w:pStyle w:val="Textkrper"/>
        <w:spacing w:before="11"/>
        <w:ind w:right="400"/>
        <w:rPr>
          <w:rFonts w:ascii="IBM Plex Sans" w:hAnsi="IBM Plex Sans"/>
        </w:rPr>
      </w:pPr>
    </w:p>
    <w:p w14:paraId="11C2E71E" w14:textId="77777777" w:rsidR="001F7AF2" w:rsidRPr="00926A68" w:rsidRDefault="001F7AF2" w:rsidP="00926A68">
      <w:pPr>
        <w:pStyle w:val="Textkrper"/>
        <w:spacing w:before="1"/>
        <w:ind w:right="400"/>
        <w:jc w:val="both"/>
        <w:rPr>
          <w:rFonts w:ascii="IBM Plex Sans" w:hAnsi="IBM Plex Sans"/>
        </w:rPr>
      </w:pPr>
      <w:r w:rsidRPr="00926A68">
        <w:rPr>
          <w:rFonts w:ascii="IBM Plex Sans" w:hAnsi="IBM Plex Sans"/>
        </w:rPr>
        <w:t>The seat of the Court shall be Vienna, Austria. The language of the arbitration shall be English.</w:t>
      </w:r>
    </w:p>
    <w:p w14:paraId="7D292D41" w14:textId="77777777" w:rsidR="001F7AF2" w:rsidRPr="00926A68" w:rsidRDefault="001F7AF2" w:rsidP="00926A68">
      <w:pPr>
        <w:pStyle w:val="Textkrper"/>
        <w:spacing w:before="12"/>
        <w:ind w:right="400"/>
        <w:rPr>
          <w:rFonts w:ascii="IBM Plex Sans" w:hAnsi="IBM Plex Sans"/>
        </w:rPr>
      </w:pPr>
    </w:p>
    <w:p w14:paraId="2FBA2222" w14:textId="15B2E303" w:rsidR="001F7AF2" w:rsidRPr="00926A68" w:rsidRDefault="001F7AF2" w:rsidP="00926A68">
      <w:pPr>
        <w:pStyle w:val="Textkrper"/>
        <w:ind w:right="400" w:firstLine="1"/>
        <w:jc w:val="both"/>
        <w:rPr>
          <w:rFonts w:ascii="IBM Plex Sans" w:hAnsi="IBM Plex Sans"/>
        </w:rPr>
      </w:pPr>
      <w:r w:rsidRPr="00926A68">
        <w:rPr>
          <w:rFonts w:ascii="IBM Plex Sans" w:hAnsi="IBM Plex Sans"/>
        </w:rPr>
        <w:t xml:space="preserve">The Rules of Arbitration of the </w:t>
      </w:r>
      <w:r w:rsidR="0021579F" w:rsidRPr="00926A68">
        <w:rPr>
          <w:rFonts w:ascii="IBM Plex Sans" w:hAnsi="IBM Plex Sans"/>
          <w:lang w:val="en-GB"/>
        </w:rPr>
        <w:t>European Handball</w:t>
      </w:r>
      <w:r w:rsidRPr="00926A68">
        <w:rPr>
          <w:rFonts w:ascii="IBM Plex Sans" w:hAnsi="IBM Plex Sans"/>
        </w:rPr>
        <w:t xml:space="preserve"> Court of Arbitration (in force at the place of arbitration) and the obligatory provisions pursuant to chapter four of the Austrian Code of Civil Procedure from which the parties may not derogate by agreement </w:t>
      </w:r>
      <w:r w:rsidR="00636FF2" w:rsidRPr="00926A68">
        <w:rPr>
          <w:rFonts w:ascii="IBM Plex Sans" w:hAnsi="IBM Plex Sans"/>
          <w:lang w:val="en-GB"/>
        </w:rPr>
        <w:t xml:space="preserve"> </w:t>
      </w:r>
      <w:r w:rsidRPr="00926A68">
        <w:rPr>
          <w:rFonts w:ascii="IBM Plex Sans" w:hAnsi="IBM Plex Sans"/>
        </w:rPr>
        <w:t>(Sec.</w:t>
      </w:r>
      <w:r w:rsidR="00636FF2" w:rsidRPr="00926A68">
        <w:rPr>
          <w:rFonts w:ascii="IBM Plex Sans" w:hAnsi="IBM Plex Sans"/>
          <w:lang w:val="en-GB"/>
        </w:rPr>
        <w:t xml:space="preserve"> </w:t>
      </w:r>
      <w:r w:rsidRPr="00926A68">
        <w:rPr>
          <w:rFonts w:ascii="IBM Plex Sans" w:hAnsi="IBM Plex Sans"/>
        </w:rPr>
        <w:t>577</w:t>
      </w:r>
      <w:r w:rsidR="00636FF2" w:rsidRPr="00926A68">
        <w:rPr>
          <w:rFonts w:ascii="IBM Plex Sans" w:hAnsi="IBM Plex Sans"/>
          <w:lang w:val="en-GB"/>
        </w:rPr>
        <w:t xml:space="preserve"> </w:t>
      </w:r>
      <w:r w:rsidRPr="00926A68">
        <w:rPr>
          <w:rFonts w:ascii="IBM Plex Sans" w:hAnsi="IBM Plex Sans"/>
        </w:rPr>
        <w:t xml:space="preserve">ff Austrian Code of Civil Procedure [Zivilprozessordnung </w:t>
      </w:r>
      <w:r w:rsidR="00636FF2" w:rsidRPr="00926A68">
        <w:rPr>
          <w:rFonts w:ascii="Cambria Math" w:hAnsi="Cambria Math" w:cs="Cambria Math"/>
          <w:lang w:val="en-GB"/>
        </w:rPr>
        <w:t>‐</w:t>
      </w:r>
      <w:r w:rsidRPr="00926A68">
        <w:rPr>
          <w:rFonts w:ascii="IBM Plex Sans" w:hAnsi="IBM Plex Sans"/>
        </w:rPr>
        <w:t xml:space="preserve"> ZPO]) shall apply. Apart from this, the arbitral chamber shall have complete discretion in conducting the proceedings. In all cases not specifically regulated the Austrian Code of Civil Procedure (Sec. 577</w:t>
      </w:r>
      <w:r w:rsidR="00636FF2" w:rsidRPr="00926A68">
        <w:rPr>
          <w:rFonts w:ascii="IBM Plex Sans" w:hAnsi="IBM Plex Sans"/>
          <w:lang w:val="en-GB"/>
        </w:rPr>
        <w:t xml:space="preserve"> </w:t>
      </w:r>
      <w:r w:rsidRPr="00926A68">
        <w:rPr>
          <w:rFonts w:ascii="IBM Plex Sans" w:hAnsi="IBM Plex Sans"/>
        </w:rPr>
        <w:t xml:space="preserve">ff Zivilprozessordnung </w:t>
      </w:r>
      <w:r w:rsidR="00636FF2" w:rsidRPr="00926A68">
        <w:rPr>
          <w:rFonts w:ascii="Cambria Math" w:hAnsi="Cambria Math" w:cs="Cambria Math"/>
          <w:lang w:val="en-GB"/>
        </w:rPr>
        <w:t>‐</w:t>
      </w:r>
      <w:r w:rsidRPr="00926A68">
        <w:rPr>
          <w:rFonts w:ascii="IBM Plex Sans" w:hAnsi="IBM Plex Sans"/>
        </w:rPr>
        <w:t xml:space="preserve"> ZPO) shall apply</w:t>
      </w:r>
      <w:r w:rsidRPr="00926A68">
        <w:rPr>
          <w:rFonts w:ascii="IBM Plex Sans" w:hAnsi="IBM Plex Sans"/>
          <w:spacing w:val="-7"/>
        </w:rPr>
        <w:t xml:space="preserve"> </w:t>
      </w:r>
      <w:r w:rsidRPr="00926A68">
        <w:rPr>
          <w:rFonts w:ascii="IBM Plex Sans" w:hAnsi="IBM Plex Sans"/>
        </w:rPr>
        <w:t>subsidiarily.</w:t>
      </w:r>
    </w:p>
    <w:p w14:paraId="12BC2E39" w14:textId="77777777" w:rsidR="001F7AF2" w:rsidRPr="00926A68" w:rsidRDefault="001F7AF2" w:rsidP="00926A68">
      <w:pPr>
        <w:rPr>
          <w:rFonts w:ascii="IBM Plex Sans" w:hAnsi="IBM Plex Sans"/>
          <w:sz w:val="20"/>
          <w:szCs w:val="20"/>
          <w:lang w:val="en-GB"/>
        </w:rPr>
      </w:pPr>
    </w:p>
    <w:p w14:paraId="5845F934" w14:textId="4C8CEE8B" w:rsidR="001F7AF2" w:rsidRPr="00926A68" w:rsidRDefault="001F7AF2" w:rsidP="00926A68">
      <w:pPr>
        <w:outlineLvl w:val="0"/>
        <w:rPr>
          <w:rFonts w:ascii="IBM Plex Sans" w:hAnsi="IBM Plex Sans"/>
          <w:sz w:val="20"/>
          <w:szCs w:val="20"/>
          <w:lang w:val="en-GB"/>
        </w:rPr>
      </w:pPr>
      <w:r w:rsidRPr="00926A68">
        <w:rPr>
          <w:rFonts w:ascii="IBM Plex Sans" w:hAnsi="IBM Plex Sans"/>
          <w:sz w:val="20"/>
          <w:szCs w:val="20"/>
          <w:lang w:val="en-GB"/>
        </w:rPr>
        <w:t xml:space="preserve">The signing parties confirm receipt of the Rules of Arbitration of the </w:t>
      </w:r>
      <w:r w:rsidR="007D302D" w:rsidRPr="00926A68">
        <w:rPr>
          <w:rFonts w:ascii="IBM Plex Sans" w:hAnsi="IBM Plex Sans"/>
          <w:sz w:val="20"/>
          <w:szCs w:val="20"/>
          <w:lang w:val="en-GB"/>
        </w:rPr>
        <w:t>European Handball</w:t>
      </w:r>
      <w:r w:rsidRPr="00926A68">
        <w:rPr>
          <w:rFonts w:ascii="IBM Plex Sans" w:hAnsi="IBM Plex Sans"/>
          <w:sz w:val="20"/>
          <w:szCs w:val="20"/>
          <w:lang w:val="en-GB"/>
        </w:rPr>
        <w:t xml:space="preserve"> Court of Arbitration</w:t>
      </w:r>
      <w:r w:rsidR="000855C0" w:rsidRPr="00926A68">
        <w:rPr>
          <w:rFonts w:ascii="IBM Plex Sans" w:hAnsi="IBM Plex Sans" w:cs="Tahoma"/>
          <w:sz w:val="20"/>
          <w:szCs w:val="20"/>
          <w:lang w:val="en-GB"/>
        </w:rPr>
        <w:t xml:space="preserve"> and accept the present arbitration agreement</w:t>
      </w:r>
      <w:r w:rsidRPr="00926A68">
        <w:rPr>
          <w:rFonts w:ascii="IBM Plex Sans" w:hAnsi="IBM Plex Sans"/>
          <w:sz w:val="20"/>
          <w:szCs w:val="20"/>
          <w:lang w:val="en-GB"/>
        </w:rPr>
        <w:t>.”</w:t>
      </w:r>
    </w:p>
    <w:p w14:paraId="55A83531" w14:textId="77777777" w:rsidR="00926A68" w:rsidRPr="00926A68" w:rsidRDefault="00926A68" w:rsidP="00926A68">
      <w:pPr>
        <w:outlineLvl w:val="0"/>
        <w:rPr>
          <w:rFonts w:ascii="IBM Plex Sans" w:hAnsi="IBM Plex Sans"/>
          <w:sz w:val="20"/>
          <w:szCs w:val="20"/>
          <w:lang w:val="en-GB"/>
        </w:rPr>
      </w:pPr>
    </w:p>
    <w:p w14:paraId="0F761816" w14:textId="5C8E55F7" w:rsidR="00EF0B54" w:rsidRPr="00835B11" w:rsidRDefault="001F7AF2" w:rsidP="00926A68">
      <w:pPr>
        <w:jc w:val="center"/>
        <w:outlineLvl w:val="0"/>
        <w:rPr>
          <w:rFonts w:ascii="IBM Plex Sans" w:hAnsi="IBM Plex Sans"/>
          <w:b/>
          <w:sz w:val="20"/>
          <w:szCs w:val="20"/>
          <w:lang w:val="fr-FR"/>
        </w:rPr>
      </w:pPr>
      <w:r w:rsidRPr="00835B11">
        <w:rPr>
          <w:rFonts w:ascii="IBM Plex Sans" w:hAnsi="IBM Plex Sans"/>
          <w:b/>
          <w:sz w:val="20"/>
          <w:szCs w:val="20"/>
          <w:lang w:val="fr-FR"/>
        </w:rPr>
        <w:t>Accord arbitral</w:t>
      </w:r>
      <w:r w:rsidRPr="00835B11">
        <w:rPr>
          <w:rFonts w:ascii="IBM Plex Sans" w:hAnsi="IBM Plex Sans" w:cs="Tahoma"/>
          <w:b/>
          <w:sz w:val="20"/>
          <w:szCs w:val="20"/>
          <w:lang w:val="fr-FR"/>
        </w:rPr>
        <w:t xml:space="preserve"> </w:t>
      </w:r>
      <w:r w:rsidR="00273DAC" w:rsidRPr="00835B11">
        <w:rPr>
          <w:rFonts w:ascii="IBM Plex Sans" w:hAnsi="IBM Plex Sans" w:cs="Tahoma"/>
          <w:b/>
          <w:bCs/>
          <w:sz w:val="20"/>
          <w:szCs w:val="20"/>
          <w:lang w:val="fr-FR"/>
        </w:rPr>
        <w:t>(</w:t>
      </w:r>
      <w:r w:rsidR="00835B11" w:rsidRPr="00835B11">
        <w:rPr>
          <w:rFonts w:ascii="IBM Plex Sans" w:hAnsi="IBM Plex Sans" w:cs="Tahoma"/>
          <w:b/>
          <w:bCs/>
          <w:sz w:val="20"/>
          <w:szCs w:val="20"/>
          <w:lang w:val="fr-FR"/>
        </w:rPr>
        <w:t>Compétitions interclubs EHF saison 2022/23</w:t>
      </w:r>
      <w:r w:rsidR="00273DAC" w:rsidRPr="00835B11">
        <w:rPr>
          <w:rFonts w:ascii="IBM Plex Sans" w:hAnsi="IBM Plex Sans" w:cs="Tahoma"/>
          <w:b/>
          <w:bCs/>
          <w:sz w:val="20"/>
          <w:szCs w:val="20"/>
          <w:lang w:val="fr-FR"/>
        </w:rPr>
        <w:t>)</w:t>
      </w:r>
    </w:p>
    <w:p w14:paraId="4086AF73" w14:textId="59FF49C0" w:rsidR="001F7AF2" w:rsidRPr="00926A68" w:rsidRDefault="001F7AF2" w:rsidP="00926A68">
      <w:pPr>
        <w:jc w:val="center"/>
        <w:outlineLvl w:val="0"/>
        <w:rPr>
          <w:rFonts w:ascii="IBM Plex Sans" w:hAnsi="IBM Plex Sans"/>
          <w:sz w:val="20"/>
          <w:szCs w:val="20"/>
          <w:lang w:val="fr-FR"/>
        </w:rPr>
      </w:pPr>
      <w:r w:rsidRPr="00926A68">
        <w:rPr>
          <w:rFonts w:ascii="IBM Plex Sans" w:hAnsi="IBM Plex Sans"/>
          <w:sz w:val="20"/>
          <w:szCs w:val="20"/>
          <w:lang w:val="fr-FR"/>
        </w:rPr>
        <w:t xml:space="preserve">(conf. au § 582, Code </w:t>
      </w:r>
      <w:r w:rsidR="008579A3" w:rsidRPr="00926A68">
        <w:rPr>
          <w:rFonts w:ascii="IBM Plex Sans" w:hAnsi="IBM Plex Sans" w:cs="Tahoma"/>
          <w:sz w:val="20"/>
          <w:szCs w:val="20"/>
          <w:lang w:val="fr-FR"/>
        </w:rPr>
        <w:t>autrichien</w:t>
      </w:r>
      <w:r w:rsidRPr="00926A68">
        <w:rPr>
          <w:rFonts w:ascii="IBM Plex Sans" w:hAnsi="IBM Plex Sans"/>
          <w:sz w:val="20"/>
          <w:szCs w:val="20"/>
          <w:lang w:val="fr-FR"/>
        </w:rPr>
        <w:t xml:space="preserve"> de procédure civile</w:t>
      </w:r>
      <w:r w:rsidR="00EF0B54" w:rsidRPr="00926A68">
        <w:rPr>
          <w:rFonts w:ascii="IBM Plex Sans" w:hAnsi="IBM Plex Sans"/>
          <w:sz w:val="20"/>
          <w:szCs w:val="20"/>
          <w:lang w:val="fr-FR"/>
        </w:rPr>
        <w:t>)</w:t>
      </w:r>
    </w:p>
    <w:p w14:paraId="0A05B61B" w14:textId="75984A44" w:rsidR="001F7AF2" w:rsidRPr="00926A68" w:rsidRDefault="00EF0B54" w:rsidP="00926A68">
      <w:pPr>
        <w:outlineLvl w:val="0"/>
        <w:rPr>
          <w:rFonts w:ascii="IBM Plex Sans" w:hAnsi="IBM Plex Sans"/>
          <w:sz w:val="20"/>
          <w:szCs w:val="20"/>
          <w:lang w:val="fr-FR"/>
        </w:rPr>
      </w:pPr>
      <w:r w:rsidRPr="00926A68">
        <w:rPr>
          <w:rFonts w:ascii="IBM Plex Sans" w:hAnsi="IBM Plex Sans"/>
          <w:sz w:val="20"/>
          <w:szCs w:val="20"/>
          <w:lang w:val="fr-FR"/>
        </w:rPr>
        <w:t>”</w:t>
      </w:r>
      <w:r w:rsidR="001F7AF2" w:rsidRPr="00926A68">
        <w:rPr>
          <w:rFonts w:ascii="IBM Plex Sans" w:hAnsi="IBM Plex Sans"/>
          <w:sz w:val="20"/>
          <w:szCs w:val="20"/>
          <w:lang w:val="fr-FR"/>
        </w:rPr>
        <w:t xml:space="preserve">Tous les litiges </w:t>
      </w:r>
      <w:r w:rsidRPr="00926A68">
        <w:rPr>
          <w:rFonts w:ascii="IBM Plex Sans" w:hAnsi="IBM Plex Sans"/>
          <w:sz w:val="20"/>
          <w:szCs w:val="20"/>
          <w:lang w:val="fr-FR"/>
        </w:rPr>
        <w:t xml:space="preserve">entre l’EHF et </w:t>
      </w:r>
      <w:r w:rsidRPr="00926A68">
        <w:rPr>
          <w:rFonts w:ascii="IBM Plex Sans" w:hAnsi="IBM Plex Sans" w:cs="Tahoma"/>
          <w:sz w:val="20"/>
          <w:szCs w:val="20"/>
          <w:lang w:val="fr-FR"/>
        </w:rPr>
        <w:t>le club</w:t>
      </w:r>
      <w:r w:rsidRPr="00926A68">
        <w:rPr>
          <w:rFonts w:ascii="IBM Plex Sans" w:hAnsi="IBM Plex Sans"/>
          <w:sz w:val="20"/>
          <w:szCs w:val="20"/>
          <w:lang w:val="fr-FR"/>
        </w:rPr>
        <w:t xml:space="preserve">, entre </w:t>
      </w:r>
      <w:r w:rsidRPr="00926A68">
        <w:rPr>
          <w:rFonts w:ascii="IBM Plex Sans" w:hAnsi="IBM Plex Sans" w:cs="Tahoma"/>
          <w:sz w:val="20"/>
          <w:szCs w:val="20"/>
          <w:lang w:val="fr-FR"/>
        </w:rPr>
        <w:t xml:space="preserve">une </w:t>
      </w:r>
      <w:r w:rsidRPr="00926A68">
        <w:rPr>
          <w:rFonts w:ascii="IBM Plex Sans" w:hAnsi="IBM Plex Sans"/>
          <w:sz w:val="20"/>
          <w:szCs w:val="20"/>
          <w:lang w:val="fr-FR"/>
        </w:rPr>
        <w:t xml:space="preserve">Fédération Nationale membre de l’EHF </w:t>
      </w:r>
      <w:r w:rsidRPr="00926A68">
        <w:rPr>
          <w:rFonts w:ascii="IBM Plex Sans" w:hAnsi="IBM Plex Sans" w:cs="Tahoma"/>
          <w:sz w:val="20"/>
          <w:szCs w:val="20"/>
          <w:lang w:val="fr-FR"/>
        </w:rPr>
        <w:t xml:space="preserve">et le club (disputes transfrontalières), ou entre le club et n’importe quel autre club appartenant à une Federation Nationale membre de l’EHF (disputes transfrontalières), </w:t>
      </w:r>
      <w:r w:rsidRPr="00926A68">
        <w:rPr>
          <w:rFonts w:ascii="IBM Plex Sans" w:hAnsi="IBM Plex Sans"/>
          <w:sz w:val="20"/>
          <w:szCs w:val="20"/>
          <w:lang w:val="fr-FR"/>
        </w:rPr>
        <w:t xml:space="preserve">ainsi que tous les litiges </w:t>
      </w:r>
      <w:r w:rsidR="005D014E" w:rsidRPr="00926A68">
        <w:rPr>
          <w:rFonts w:ascii="IBM Plex Sans" w:hAnsi="IBM Plex Sans"/>
          <w:sz w:val="20"/>
          <w:szCs w:val="20"/>
          <w:lang w:val="fr-FR"/>
        </w:rPr>
        <w:t>survenant de</w:t>
      </w:r>
      <w:r w:rsidRPr="00926A68">
        <w:rPr>
          <w:rFonts w:ascii="IBM Plex Sans" w:hAnsi="IBM Plex Sans"/>
          <w:sz w:val="20"/>
          <w:szCs w:val="20"/>
          <w:lang w:val="fr-FR"/>
        </w:rPr>
        <w:t>s</w:t>
      </w:r>
      <w:r w:rsidR="005D014E" w:rsidRPr="00926A68">
        <w:rPr>
          <w:rFonts w:ascii="IBM Plex Sans" w:hAnsi="IBM Plex Sans"/>
          <w:sz w:val="20"/>
          <w:szCs w:val="20"/>
          <w:lang w:val="fr-FR"/>
        </w:rPr>
        <w:t xml:space="preserve"> ou </w:t>
      </w:r>
      <w:r w:rsidRPr="00926A68">
        <w:rPr>
          <w:rFonts w:ascii="IBM Plex Sans" w:hAnsi="IBM Plex Sans"/>
          <w:sz w:val="20"/>
          <w:szCs w:val="20"/>
          <w:lang w:val="fr-FR"/>
        </w:rPr>
        <w:t xml:space="preserve">liés aux </w:t>
      </w:r>
      <w:r w:rsidR="001F7AF2" w:rsidRPr="00926A68">
        <w:rPr>
          <w:rFonts w:ascii="IBM Plex Sans" w:hAnsi="IBM Plex Sans"/>
          <w:sz w:val="20"/>
          <w:szCs w:val="20"/>
          <w:lang w:val="fr-FR"/>
        </w:rPr>
        <w:t>compéti</w:t>
      </w:r>
      <w:r w:rsidRPr="00926A68">
        <w:rPr>
          <w:rFonts w:ascii="IBM Plex Sans" w:hAnsi="IBM Plex Sans"/>
          <w:sz w:val="20"/>
          <w:szCs w:val="20"/>
          <w:lang w:val="fr-FR"/>
        </w:rPr>
        <w:t>tions, doivent être</w:t>
      </w:r>
      <w:r w:rsidR="001F7AF2" w:rsidRPr="00926A68">
        <w:rPr>
          <w:rFonts w:ascii="IBM Plex Sans" w:hAnsi="IBM Plex Sans"/>
          <w:sz w:val="20"/>
          <w:szCs w:val="20"/>
          <w:lang w:val="fr-FR"/>
        </w:rPr>
        <w:t xml:space="preserve"> tranché</w:t>
      </w:r>
      <w:r w:rsidR="00AE1E85" w:rsidRPr="00926A68">
        <w:rPr>
          <w:rFonts w:ascii="IBM Plex Sans" w:hAnsi="IBM Plex Sans"/>
          <w:sz w:val="20"/>
          <w:szCs w:val="20"/>
          <w:lang w:val="fr-FR"/>
        </w:rPr>
        <w:t>s définitivement par la Cour</w:t>
      </w:r>
      <w:r w:rsidR="001F7AF2" w:rsidRPr="00926A68">
        <w:rPr>
          <w:rFonts w:ascii="IBM Plex Sans" w:hAnsi="IBM Plex Sans"/>
          <w:sz w:val="20"/>
          <w:szCs w:val="20"/>
          <w:lang w:val="fr-FR"/>
        </w:rPr>
        <w:t xml:space="preserve"> d’arbitrag</w:t>
      </w:r>
      <w:r w:rsidRPr="00926A68">
        <w:rPr>
          <w:rFonts w:ascii="IBM Plex Sans" w:hAnsi="IBM Plex Sans"/>
          <w:sz w:val="20"/>
          <w:szCs w:val="20"/>
          <w:lang w:val="fr-FR"/>
        </w:rPr>
        <w:t xml:space="preserve">e de </w:t>
      </w:r>
      <w:r w:rsidRPr="00926A68">
        <w:rPr>
          <w:rFonts w:ascii="IBM Plex Sans" w:hAnsi="IBM Plex Sans" w:cs="Tahoma"/>
          <w:sz w:val="20"/>
          <w:szCs w:val="20"/>
          <w:lang w:val="fr-FR"/>
        </w:rPr>
        <w:t>l’EHF</w:t>
      </w:r>
      <w:r w:rsidRPr="00926A68">
        <w:rPr>
          <w:rFonts w:ascii="IBM Plex Sans" w:hAnsi="IBM Plex Sans"/>
          <w:sz w:val="20"/>
          <w:szCs w:val="20"/>
          <w:lang w:val="fr-FR"/>
        </w:rPr>
        <w:t xml:space="preserve">, après épuisement de tous les recours légaux internes à l’EHF. </w:t>
      </w:r>
      <w:r w:rsidR="00AE1E85" w:rsidRPr="00926A68">
        <w:rPr>
          <w:rFonts w:ascii="IBM Plex Sans" w:hAnsi="IBM Plex Sans"/>
          <w:sz w:val="20"/>
          <w:szCs w:val="20"/>
          <w:lang w:val="fr-FR"/>
        </w:rPr>
        <w:t xml:space="preserve">La procédure de la Cour d’arbitrage de </w:t>
      </w:r>
      <w:r w:rsidR="00AE1E85" w:rsidRPr="00926A68">
        <w:rPr>
          <w:rFonts w:ascii="IBM Plex Sans" w:hAnsi="IBM Plex Sans" w:cs="Tahoma"/>
          <w:sz w:val="20"/>
          <w:szCs w:val="20"/>
          <w:lang w:val="fr-FR"/>
        </w:rPr>
        <w:t>l’EHF</w:t>
      </w:r>
      <w:r w:rsidR="00AE1E85" w:rsidRPr="00926A68">
        <w:rPr>
          <w:rFonts w:ascii="IBM Plex Sans" w:hAnsi="IBM Plex Sans"/>
          <w:sz w:val="20"/>
          <w:szCs w:val="20"/>
          <w:lang w:val="fr-FR"/>
        </w:rPr>
        <w:t xml:space="preserve"> remplace une procédure devant les tribunaux ordinaires.</w:t>
      </w:r>
      <w:r w:rsidR="00AE1E85" w:rsidRPr="00926A68">
        <w:rPr>
          <w:rFonts w:ascii="IBM Plex Sans" w:hAnsi="IBM Plex Sans" w:cs="Tahoma"/>
          <w:sz w:val="20"/>
          <w:szCs w:val="20"/>
          <w:lang w:val="fr-FR"/>
        </w:rPr>
        <w:t xml:space="preserve"> </w:t>
      </w:r>
    </w:p>
    <w:p w14:paraId="1827EFCB" w14:textId="77777777" w:rsidR="001F7AF2" w:rsidRPr="00926A68" w:rsidRDefault="001F7AF2" w:rsidP="00926A68">
      <w:pPr>
        <w:outlineLvl w:val="0"/>
        <w:rPr>
          <w:rFonts w:ascii="IBM Plex Sans" w:hAnsi="IBM Plex Sans"/>
          <w:sz w:val="20"/>
          <w:szCs w:val="20"/>
          <w:lang w:val="fr-FR"/>
        </w:rPr>
      </w:pPr>
    </w:p>
    <w:p w14:paraId="4F270B3F" w14:textId="6E661706" w:rsidR="001F7AF2" w:rsidRPr="00926A68" w:rsidRDefault="000855C0" w:rsidP="00926A68">
      <w:pPr>
        <w:outlineLvl w:val="0"/>
        <w:rPr>
          <w:rFonts w:ascii="IBM Plex Sans" w:hAnsi="IBM Plex Sans"/>
          <w:sz w:val="20"/>
          <w:szCs w:val="20"/>
          <w:lang w:val="fr-FR"/>
        </w:rPr>
      </w:pPr>
      <w:r w:rsidRPr="00926A68">
        <w:rPr>
          <w:rFonts w:ascii="IBM Plex Sans" w:hAnsi="IBM Plex Sans"/>
          <w:sz w:val="20"/>
          <w:szCs w:val="20"/>
          <w:lang w:val="fr-FR"/>
        </w:rPr>
        <w:t xml:space="preserve">Le siège </w:t>
      </w:r>
      <w:r w:rsidRPr="00926A68">
        <w:rPr>
          <w:rFonts w:ascii="IBM Plex Sans" w:hAnsi="IBM Plex Sans" w:cs="Tahoma"/>
          <w:sz w:val="20"/>
          <w:szCs w:val="20"/>
          <w:lang w:val="fr-FR"/>
        </w:rPr>
        <w:t>de la Cour</w:t>
      </w:r>
      <w:r w:rsidR="001F7AF2" w:rsidRPr="00926A68">
        <w:rPr>
          <w:rFonts w:ascii="IBM Plex Sans" w:hAnsi="IBM Plex Sans"/>
          <w:sz w:val="20"/>
          <w:szCs w:val="20"/>
          <w:lang w:val="fr-FR"/>
        </w:rPr>
        <w:t xml:space="preserve"> d’arbitrage est fixé à Vienne, Autriche. La langue de la procédure est l’anglais.</w:t>
      </w:r>
    </w:p>
    <w:p w14:paraId="27E75B30" w14:textId="77777777" w:rsidR="001F7AF2" w:rsidRPr="00926A68" w:rsidRDefault="001F7AF2" w:rsidP="00926A68">
      <w:pPr>
        <w:outlineLvl w:val="0"/>
        <w:rPr>
          <w:rFonts w:ascii="IBM Plex Sans" w:hAnsi="IBM Plex Sans"/>
          <w:sz w:val="20"/>
          <w:szCs w:val="20"/>
          <w:lang w:val="fr-FR"/>
        </w:rPr>
      </w:pPr>
    </w:p>
    <w:p w14:paraId="71A1F81B" w14:textId="7F051893" w:rsidR="001F7AF2" w:rsidRPr="00926A68" w:rsidRDefault="001F7AF2" w:rsidP="00926A68">
      <w:pPr>
        <w:outlineLvl w:val="0"/>
        <w:rPr>
          <w:rFonts w:ascii="IBM Plex Sans" w:hAnsi="IBM Plex Sans"/>
          <w:sz w:val="20"/>
          <w:szCs w:val="20"/>
          <w:lang w:val="fr-FR"/>
        </w:rPr>
      </w:pPr>
      <w:r w:rsidRPr="00926A68">
        <w:rPr>
          <w:rFonts w:ascii="IBM Plex Sans" w:hAnsi="IBM Plex Sans"/>
          <w:sz w:val="20"/>
          <w:szCs w:val="20"/>
          <w:lang w:val="fr-FR"/>
        </w:rPr>
        <w:t>La procédure est régie par le Règlement d’a</w:t>
      </w:r>
      <w:r w:rsidR="00AE1E85" w:rsidRPr="00926A68">
        <w:rPr>
          <w:rFonts w:ascii="IBM Plex Sans" w:hAnsi="IBM Plex Sans"/>
          <w:sz w:val="20"/>
          <w:szCs w:val="20"/>
          <w:lang w:val="fr-FR"/>
        </w:rPr>
        <w:t xml:space="preserve">rbitrage de la </w:t>
      </w:r>
      <w:r w:rsidR="00223558" w:rsidRPr="00223558">
        <w:rPr>
          <w:rFonts w:ascii="IBM Plex Sans" w:hAnsi="IBM Plex Sans"/>
          <w:sz w:val="20"/>
          <w:szCs w:val="20"/>
          <w:lang w:val="fr-FR"/>
        </w:rPr>
        <w:t>Cour européenne d’arbitrage de handball</w:t>
      </w:r>
      <w:r w:rsidRPr="00926A68">
        <w:rPr>
          <w:rFonts w:ascii="IBM Plex Sans" w:hAnsi="IBM Plex Sans"/>
          <w:sz w:val="20"/>
          <w:szCs w:val="20"/>
          <w:lang w:val="fr-FR"/>
        </w:rPr>
        <w:t xml:space="preserve"> et par les dispositions contraignantes de la Quatrième section du Code autrichien de procédure civile (§§ 577 et su</w:t>
      </w:r>
      <w:r w:rsidR="00AE1E85" w:rsidRPr="00926A68">
        <w:rPr>
          <w:rFonts w:ascii="IBM Plex Sans" w:hAnsi="IBM Plex Sans"/>
          <w:sz w:val="20"/>
          <w:szCs w:val="20"/>
          <w:lang w:val="fr-FR"/>
        </w:rPr>
        <w:t>iv.). Pour le reste, la Cour</w:t>
      </w:r>
      <w:r w:rsidRPr="00926A68">
        <w:rPr>
          <w:rFonts w:ascii="IBM Plex Sans" w:hAnsi="IBM Plex Sans"/>
          <w:sz w:val="20"/>
          <w:szCs w:val="20"/>
          <w:lang w:val="fr-FR"/>
        </w:rPr>
        <w:t xml:space="preserve"> d’arbitrage détermine librement l’organisation de la procédure. Dans tous les cas non réglés, les §§ 577 et suiv. du Code autrichien de procédure civile s’appliquent subsidiairement.</w:t>
      </w:r>
      <w:r w:rsidRPr="00926A68">
        <w:rPr>
          <w:rFonts w:ascii="IBM Plex Sans" w:hAnsi="IBM Plex Sans" w:cs="Tahoma"/>
          <w:sz w:val="20"/>
          <w:szCs w:val="20"/>
          <w:lang w:val="fr-FR"/>
        </w:rPr>
        <w:t xml:space="preserve"> </w:t>
      </w:r>
    </w:p>
    <w:p w14:paraId="6DB8226F" w14:textId="77777777" w:rsidR="001F7AF2" w:rsidRPr="00926A68" w:rsidRDefault="001F7AF2" w:rsidP="00926A68">
      <w:pPr>
        <w:outlineLvl w:val="0"/>
        <w:rPr>
          <w:rFonts w:ascii="IBM Plex Sans" w:hAnsi="IBM Plex Sans"/>
          <w:sz w:val="20"/>
          <w:szCs w:val="20"/>
          <w:lang w:val="fr-FR"/>
        </w:rPr>
      </w:pPr>
    </w:p>
    <w:p w14:paraId="4C0DFBA1" w14:textId="67F43494" w:rsidR="001F7AF2" w:rsidRPr="00926A68" w:rsidRDefault="001F7AF2" w:rsidP="00926A68">
      <w:pPr>
        <w:pStyle w:val="Textkrper"/>
        <w:ind w:right="400"/>
        <w:jc w:val="both"/>
        <w:rPr>
          <w:rFonts w:ascii="IBM Plex Sans" w:hAnsi="IBM Plex Sans"/>
          <w:lang w:val="fr-FR"/>
        </w:rPr>
      </w:pPr>
      <w:r w:rsidRPr="00926A68">
        <w:rPr>
          <w:rFonts w:ascii="IBM Plex Sans" w:hAnsi="IBM Plex Sans"/>
          <w:lang w:val="fr-FR"/>
        </w:rPr>
        <w:t>Les parties signataires confirment avoir r</w:t>
      </w:r>
      <w:r w:rsidR="000855C0" w:rsidRPr="00926A68">
        <w:rPr>
          <w:rFonts w:ascii="IBM Plex Sans" w:hAnsi="IBM Plex Sans"/>
          <w:lang w:val="fr-FR"/>
        </w:rPr>
        <w:t xml:space="preserve">eçu </w:t>
      </w:r>
      <w:r w:rsidR="00636FF2" w:rsidRPr="00926A68">
        <w:rPr>
          <w:rFonts w:ascii="IBM Plex Sans" w:hAnsi="IBM Plex Sans"/>
          <w:lang w:val="fr-FR"/>
        </w:rPr>
        <w:t xml:space="preserve">et acceptent </w:t>
      </w:r>
      <w:r w:rsidR="000855C0" w:rsidRPr="00926A68">
        <w:rPr>
          <w:rFonts w:ascii="IBM Plex Sans" w:hAnsi="IBM Plex Sans"/>
          <w:lang w:val="fr-FR"/>
        </w:rPr>
        <w:t xml:space="preserve">le Règlement d’arbitrage </w:t>
      </w:r>
      <w:r w:rsidR="00636FF2" w:rsidRPr="00926A68">
        <w:rPr>
          <w:rFonts w:ascii="IBM Plex Sans" w:hAnsi="IBM Plex Sans"/>
          <w:lang w:val="fr-FR"/>
        </w:rPr>
        <w:t>du</w:t>
      </w:r>
      <w:r w:rsidR="000855C0" w:rsidRPr="00926A68">
        <w:rPr>
          <w:rFonts w:ascii="IBM Plex Sans" w:hAnsi="IBM Plex Sans"/>
          <w:lang w:val="fr-FR"/>
        </w:rPr>
        <w:t xml:space="preserve"> Cour </w:t>
      </w:r>
      <w:r w:rsidR="00257DC5" w:rsidRPr="00926A68">
        <w:rPr>
          <w:rFonts w:ascii="IBM Plex Sans" w:hAnsi="IBM Plex Sans"/>
          <w:lang w:val="fr-FR"/>
        </w:rPr>
        <w:t xml:space="preserve">européenne </w:t>
      </w:r>
      <w:r w:rsidRPr="00926A68">
        <w:rPr>
          <w:rFonts w:ascii="IBM Plex Sans" w:hAnsi="IBM Plex Sans"/>
          <w:lang w:val="fr-FR"/>
        </w:rPr>
        <w:t xml:space="preserve">d’arbitrage de </w:t>
      </w:r>
      <w:r w:rsidR="00257DC5" w:rsidRPr="00926A68">
        <w:rPr>
          <w:rFonts w:ascii="IBM Plex Sans" w:hAnsi="IBM Plex Sans"/>
          <w:lang w:val="fr-FR"/>
        </w:rPr>
        <w:t>handball</w:t>
      </w:r>
      <w:r w:rsidRPr="00926A68">
        <w:rPr>
          <w:rFonts w:ascii="IBM Plex Sans" w:hAnsi="IBM Plex Sans"/>
          <w:lang w:val="fr-FR"/>
        </w:rPr>
        <w:t xml:space="preserve"> (ECA</w:t>
      </w:r>
      <w:r w:rsidRPr="00926A68">
        <w:rPr>
          <w:rFonts w:ascii="IBM Plex Sans" w:hAnsi="IBM Plex Sans" w:cs="Tahoma"/>
          <w:lang w:val="fr-FR"/>
        </w:rPr>
        <w:t>)</w:t>
      </w:r>
      <w:r w:rsidR="000855C0" w:rsidRPr="00926A68">
        <w:rPr>
          <w:rFonts w:ascii="IBM Plex Sans" w:hAnsi="IBM Plex Sans" w:cs="Tahoma"/>
          <w:lang w:val="fr-FR"/>
        </w:rPr>
        <w:t xml:space="preserve"> et acceptent le présent accord arbitral</w:t>
      </w:r>
      <w:r w:rsidRPr="00926A68">
        <w:rPr>
          <w:rFonts w:ascii="IBM Plex Sans" w:hAnsi="IBM Plex Sans" w:cs="Tahoma"/>
          <w:lang w:val="fr-FR"/>
        </w:rPr>
        <w:t>.</w:t>
      </w:r>
      <w:r w:rsidR="00EF0B54" w:rsidRPr="00926A68">
        <w:rPr>
          <w:rFonts w:ascii="IBM Plex Sans" w:hAnsi="IBM Plex Sans" w:cs="Courier New"/>
          <w:lang w:val="fr-FR"/>
        </w:rPr>
        <w:t> </w:t>
      </w:r>
      <w:r w:rsidR="00EF0B54" w:rsidRPr="00926A68">
        <w:rPr>
          <w:rFonts w:ascii="IBM Plex Sans" w:hAnsi="IBM Plex Sans"/>
          <w:lang w:val="fr-FR"/>
        </w:rPr>
        <w:t>”</w:t>
      </w:r>
    </w:p>
    <w:p w14:paraId="4F7B1A57" w14:textId="77777777" w:rsidR="00366208" w:rsidRPr="00926A68" w:rsidRDefault="00366208" w:rsidP="00926A68">
      <w:pPr>
        <w:outlineLvl w:val="0"/>
        <w:rPr>
          <w:rFonts w:ascii="IBM Plex Sans" w:hAnsi="IBM Plex Sans"/>
          <w:sz w:val="20"/>
          <w:szCs w:val="20"/>
          <w:lang w:val="fr-FR"/>
        </w:rPr>
      </w:pPr>
    </w:p>
    <w:p w14:paraId="7DB449B1" w14:textId="605F8C0E" w:rsidR="009F271A" w:rsidRPr="00926A68" w:rsidRDefault="009F271A" w:rsidP="00926A68">
      <w:pPr>
        <w:widowControl/>
        <w:tabs>
          <w:tab w:val="left" w:leader="underscore" w:pos="4253"/>
          <w:tab w:val="left" w:leader="underscore" w:pos="8505"/>
        </w:tabs>
        <w:spacing w:line="360" w:lineRule="auto"/>
        <w:rPr>
          <w:rFonts w:ascii="IBM Plex Sans" w:hAnsi="IBM Plex Sans"/>
          <w:b/>
          <w:sz w:val="20"/>
          <w:szCs w:val="20"/>
          <w:lang w:val="en-GB"/>
        </w:rPr>
      </w:pPr>
      <w:r w:rsidRPr="00926A68">
        <w:rPr>
          <w:rFonts w:ascii="IBM Plex Sans" w:hAnsi="IBM Plex Sans" w:cs="Tahoma"/>
          <w:b/>
          <w:sz w:val="20"/>
          <w:szCs w:val="20"/>
          <w:lang w:val="en-GB"/>
        </w:rPr>
        <w:t>Club Name:</w:t>
      </w:r>
      <w:r w:rsidR="00F6776F" w:rsidRPr="00926A68">
        <w:rPr>
          <w:rFonts w:ascii="IBM Plex Sans" w:hAnsi="IBM Plex Sans" w:cs="Tahoma"/>
          <w:b/>
          <w:sz w:val="20"/>
          <w:szCs w:val="20"/>
          <w:lang w:val="en-GB"/>
        </w:rPr>
        <w:tab/>
      </w:r>
      <w:r w:rsidRPr="00926A68">
        <w:rPr>
          <w:rFonts w:ascii="IBM Plex Sans" w:hAnsi="IBM Plex Sans"/>
          <w:b/>
          <w:sz w:val="20"/>
          <w:szCs w:val="20"/>
          <w:lang w:val="en-GB"/>
        </w:rPr>
        <w:t>Federation</w:t>
      </w:r>
      <w:r w:rsidRPr="00926A68">
        <w:rPr>
          <w:rFonts w:ascii="IBM Plex Sans" w:hAnsi="IBM Plex Sans" w:cs="Tahoma"/>
          <w:b/>
          <w:sz w:val="20"/>
          <w:szCs w:val="20"/>
          <w:lang w:val="en-GB"/>
        </w:rPr>
        <w:t>:</w:t>
      </w:r>
      <w:r w:rsidRPr="00926A68">
        <w:rPr>
          <w:rFonts w:ascii="IBM Plex Sans" w:hAnsi="IBM Plex Sans"/>
          <w:b/>
          <w:sz w:val="20"/>
          <w:szCs w:val="20"/>
          <w:lang w:val="en-GB"/>
        </w:rPr>
        <w:tab/>
      </w:r>
    </w:p>
    <w:p w14:paraId="1859967B" w14:textId="0342F283" w:rsidR="00C14C2E" w:rsidRPr="00926A68" w:rsidRDefault="009F271A" w:rsidP="00926A68">
      <w:pPr>
        <w:widowControl/>
        <w:tabs>
          <w:tab w:val="left" w:leader="underscore" w:pos="3686"/>
          <w:tab w:val="left" w:pos="4253"/>
          <w:tab w:val="left" w:leader="underscore" w:pos="8505"/>
        </w:tabs>
        <w:rPr>
          <w:rFonts w:ascii="IBM Plex Sans" w:hAnsi="IBM Plex Sans"/>
          <w:sz w:val="20"/>
          <w:szCs w:val="20"/>
          <w:lang w:val="en-GB"/>
        </w:rPr>
      </w:pPr>
      <w:r w:rsidRPr="00926A68">
        <w:rPr>
          <w:rFonts w:ascii="IBM Plex Sans" w:hAnsi="IBM Plex Sans"/>
          <w:b/>
          <w:sz w:val="20"/>
          <w:szCs w:val="20"/>
          <w:lang w:val="en-GB"/>
        </w:rPr>
        <w:t>Date:</w:t>
      </w:r>
      <w:r w:rsidR="00C14C2E" w:rsidRPr="00926A68">
        <w:rPr>
          <w:rFonts w:ascii="IBM Plex Sans" w:hAnsi="IBM Plex Sans" w:cs="Tahoma"/>
          <w:sz w:val="20"/>
          <w:szCs w:val="20"/>
          <w:lang w:val="en-GB"/>
        </w:rPr>
        <w:tab/>
      </w:r>
      <w:r w:rsidR="00C14C2E" w:rsidRPr="00926A68">
        <w:rPr>
          <w:rFonts w:ascii="IBM Plex Sans" w:hAnsi="IBM Plex Sans" w:cs="Tahoma"/>
          <w:sz w:val="20"/>
          <w:szCs w:val="20"/>
          <w:lang w:val="en-GB"/>
        </w:rPr>
        <w:tab/>
      </w:r>
      <w:r w:rsidR="00C14C2E" w:rsidRPr="00926A68">
        <w:rPr>
          <w:rFonts w:ascii="IBM Plex Sans" w:hAnsi="IBM Plex Sans" w:cs="Tahoma"/>
          <w:sz w:val="20"/>
          <w:szCs w:val="20"/>
          <w:lang w:val="en-GB"/>
        </w:rPr>
        <w:tab/>
      </w:r>
      <w:r w:rsidR="00C14C2E" w:rsidRPr="00926A68">
        <w:rPr>
          <w:rFonts w:ascii="IBM Plex Sans" w:hAnsi="IBM Plex Sans"/>
          <w:sz w:val="20"/>
          <w:szCs w:val="20"/>
          <w:lang w:val="en-GB"/>
        </w:rPr>
        <w:tab/>
      </w:r>
    </w:p>
    <w:p w14:paraId="3FEEA27C" w14:textId="15FFBDD8" w:rsidR="00366208" w:rsidRPr="00926A68" w:rsidRDefault="00C14C2E" w:rsidP="00926A68">
      <w:pPr>
        <w:widowControl/>
        <w:tabs>
          <w:tab w:val="left" w:pos="3686"/>
        </w:tabs>
        <w:ind w:left="4253" w:hanging="4253"/>
        <w:rPr>
          <w:rFonts w:ascii="IBM Plex Sans" w:hAnsi="IBM Plex Sans"/>
          <w:b/>
          <w:sz w:val="20"/>
          <w:szCs w:val="20"/>
          <w:lang w:val="en-GB"/>
        </w:rPr>
      </w:pPr>
      <w:r w:rsidRPr="00926A68">
        <w:rPr>
          <w:rFonts w:ascii="IBM Plex Sans" w:hAnsi="IBM Plex Sans" w:cs="Tahoma"/>
          <w:b/>
          <w:sz w:val="20"/>
          <w:szCs w:val="20"/>
          <w:lang w:val="en-GB"/>
        </w:rPr>
        <w:tab/>
      </w:r>
      <w:r w:rsidR="009F271A" w:rsidRPr="00926A68">
        <w:rPr>
          <w:rFonts w:ascii="IBM Plex Sans" w:hAnsi="IBM Plex Sans" w:cs="Tahoma"/>
          <w:b/>
          <w:sz w:val="20"/>
          <w:szCs w:val="20"/>
          <w:lang w:val="en-GB"/>
        </w:rPr>
        <w:tab/>
      </w:r>
      <w:r w:rsidR="00366208" w:rsidRPr="00926A68">
        <w:rPr>
          <w:rFonts w:ascii="IBM Plex Sans" w:hAnsi="IBM Plex Sans" w:cs="Tahoma"/>
          <w:b/>
          <w:sz w:val="20"/>
          <w:szCs w:val="20"/>
          <w:lang w:val="en-GB"/>
        </w:rPr>
        <w:t>Club</w:t>
      </w:r>
      <w:r w:rsidRPr="00926A68">
        <w:rPr>
          <w:rFonts w:ascii="IBM Plex Sans" w:hAnsi="IBM Plex Sans"/>
          <w:b/>
          <w:sz w:val="20"/>
          <w:szCs w:val="20"/>
          <w:lang w:val="en-GB"/>
        </w:rPr>
        <w:t xml:space="preserve"> stamp and signature</w:t>
      </w:r>
      <w:r w:rsidR="009B073E" w:rsidRPr="00926A68">
        <w:rPr>
          <w:rFonts w:ascii="IBM Plex Sans" w:hAnsi="IBM Plex Sans"/>
          <w:b/>
          <w:sz w:val="20"/>
          <w:szCs w:val="20"/>
          <w:lang w:val="en-GB"/>
        </w:rPr>
        <w:t xml:space="preserve"> </w:t>
      </w:r>
      <w:r w:rsidR="00366208" w:rsidRPr="00926A68">
        <w:rPr>
          <w:rFonts w:ascii="IBM Plex Sans" w:hAnsi="IBM Plex Sans"/>
          <w:b/>
          <w:sz w:val="20"/>
          <w:szCs w:val="20"/>
          <w:lang w:val="en-GB"/>
        </w:rPr>
        <w:t>(</w:t>
      </w:r>
      <w:r w:rsidR="00F27C16" w:rsidRPr="00926A68">
        <w:rPr>
          <w:rFonts w:ascii="IBM Plex Sans" w:hAnsi="IBM Plex Sans"/>
          <w:b/>
          <w:sz w:val="20"/>
          <w:szCs w:val="20"/>
          <w:lang w:val="en-GB"/>
        </w:rPr>
        <w:t xml:space="preserve">by a person having </w:t>
      </w:r>
      <w:r w:rsidR="009157E4" w:rsidRPr="00926A68">
        <w:rPr>
          <w:rFonts w:ascii="IBM Plex Sans" w:hAnsi="IBM Plex Sans"/>
          <w:b/>
          <w:sz w:val="20"/>
          <w:szCs w:val="20"/>
          <w:lang w:val="en-GB"/>
        </w:rPr>
        <w:t xml:space="preserve">authority to commit the </w:t>
      </w:r>
      <w:r w:rsidR="00F27C16" w:rsidRPr="00926A68">
        <w:rPr>
          <w:rFonts w:ascii="IBM Plex Sans" w:hAnsi="IBM Plex Sans" w:cs="Tahoma"/>
          <w:b/>
          <w:sz w:val="20"/>
          <w:szCs w:val="20"/>
          <w:lang w:val="en-GB"/>
        </w:rPr>
        <w:t>club)</w:t>
      </w:r>
      <w:r w:rsidRPr="00926A68">
        <w:rPr>
          <w:rFonts w:ascii="IBM Plex Sans" w:hAnsi="IBM Plex Sans" w:cs="Tahoma"/>
          <w:b/>
          <w:sz w:val="20"/>
          <w:szCs w:val="20"/>
          <w:lang w:val="en-GB"/>
        </w:rPr>
        <w:t>:</w:t>
      </w:r>
    </w:p>
    <w:sectPr w:rsidR="00366208" w:rsidRPr="00926A68" w:rsidSect="00926A68">
      <w:footerReference w:type="default" r:id="rId6"/>
      <w:headerReference w:type="first" r:id="rId7"/>
      <w:pgSz w:w="11907" w:h="16840" w:code="9"/>
      <w:pgMar w:top="851" w:right="851" w:bottom="397" w:left="85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439CA" w14:textId="77777777" w:rsidR="00926A68" w:rsidRDefault="00926A68">
      <w:r>
        <w:separator/>
      </w:r>
    </w:p>
  </w:endnote>
  <w:endnote w:type="continuationSeparator" w:id="0">
    <w:p w14:paraId="526A5D55" w14:textId="77777777" w:rsidR="00926A68" w:rsidRDefault="00926A68">
      <w:r>
        <w:continuationSeparator/>
      </w:r>
    </w:p>
  </w:endnote>
  <w:endnote w:type="continuationNotice" w:id="1">
    <w:p w14:paraId="2372574A" w14:textId="77777777" w:rsidR="00926A68" w:rsidRDefault="00926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BM Plex Sans">
    <w:panose1 w:val="020B0503050203000203"/>
    <w:charset w:val="00"/>
    <w:family w:val="swiss"/>
    <w:pitch w:val="variable"/>
    <w:sig w:usb0="A00002EF" w:usb1="5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328F" w14:textId="77777777" w:rsidR="0098266D" w:rsidRDefault="0098266D">
    <w:pPr>
      <w:pStyle w:val="Fuzeile"/>
      <w:framePr w:wrap="auto" w:vAnchor="text" w:hAnchor="margin" w:xAlign="right" w:y="1"/>
      <w:widowControl/>
      <w:rPr>
        <w:rStyle w:val="Seitenzahl"/>
        <w:rFonts w:cs="Arial"/>
      </w:rPr>
    </w:pPr>
    <w:r>
      <w:rPr>
        <w:rStyle w:val="Seitenzahl"/>
        <w:rFonts w:cs="Arial"/>
      </w:rPr>
      <w:fldChar w:fldCharType="begin"/>
    </w:r>
    <w:r>
      <w:rPr>
        <w:rStyle w:val="Seitenzahl"/>
        <w:rFonts w:cs="Arial"/>
      </w:rPr>
      <w:instrText xml:space="preserve">PAGE  </w:instrText>
    </w:r>
    <w:r>
      <w:rPr>
        <w:rStyle w:val="Seitenzahl"/>
        <w:rFonts w:cs="Arial"/>
      </w:rPr>
      <w:fldChar w:fldCharType="separate"/>
    </w:r>
    <w:r w:rsidR="009B073E">
      <w:rPr>
        <w:rStyle w:val="Seitenzahl"/>
        <w:rFonts w:cs="Arial"/>
        <w:noProof/>
      </w:rPr>
      <w:t>2</w:t>
    </w:r>
    <w:r>
      <w:rPr>
        <w:rStyle w:val="Seitenzahl"/>
        <w:rFonts w:cs="Arial"/>
      </w:rPr>
      <w:fldChar w:fldCharType="end"/>
    </w:r>
  </w:p>
  <w:p w14:paraId="5A8C64AD" w14:textId="77777777" w:rsidR="0098266D" w:rsidRDefault="0098266D" w:rsidP="00926A68">
    <w:pPr>
      <w:pStyle w:val="Fuzeile"/>
      <w:widowContr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C19D3" w14:textId="77777777" w:rsidR="00926A68" w:rsidRDefault="00926A68">
      <w:r>
        <w:separator/>
      </w:r>
    </w:p>
  </w:footnote>
  <w:footnote w:type="continuationSeparator" w:id="0">
    <w:p w14:paraId="70D3E86B" w14:textId="77777777" w:rsidR="00926A68" w:rsidRDefault="00926A68">
      <w:r>
        <w:continuationSeparator/>
      </w:r>
    </w:p>
  </w:footnote>
  <w:footnote w:type="continuationNotice" w:id="1">
    <w:p w14:paraId="666BE430" w14:textId="77777777" w:rsidR="00926A68" w:rsidRDefault="00926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A427C" w14:textId="4BE240E0" w:rsidR="00835B11" w:rsidRPr="00835B11" w:rsidRDefault="00835B11">
    <w:pPr>
      <w:pStyle w:val="Kopfzeile"/>
      <w:rPr>
        <w:sz w:val="2"/>
        <w:szCs w:val="2"/>
      </w:rPr>
    </w:pPr>
    <w:r w:rsidRPr="00835B11">
      <w:rPr>
        <w:rFonts w:ascii="IBM Plex Sans" w:eastAsia="Calibri" w:hAnsi="IBM Plex Sans" w:cs="Calibri"/>
        <w:noProof/>
        <w:sz w:val="2"/>
        <w:szCs w:val="2"/>
        <w:lang w:val="en-US" w:eastAsia="en-US"/>
      </w:rPr>
      <w:drawing>
        <wp:anchor distT="0" distB="0" distL="114300" distR="114300" simplePos="0" relativeHeight="251666432" behindDoc="1" locked="1" layoutInCell="1" allowOverlap="0" wp14:anchorId="41DFAB70" wp14:editId="062AFE96">
          <wp:simplePos x="0" y="0"/>
          <wp:positionH relativeFrom="page">
            <wp:posOffset>6655435</wp:posOffset>
          </wp:positionH>
          <wp:positionV relativeFrom="page">
            <wp:posOffset>-7620</wp:posOffset>
          </wp:positionV>
          <wp:extent cx="887095" cy="535305"/>
          <wp:effectExtent l="0" t="0" r="8255" b="0"/>
          <wp:wrapNone/>
          <wp:docPr id="6" name="Grafik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close up of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t="23172" b="674"/>
                  <a:stretch>
                    <a:fillRect/>
                  </a:stretch>
                </pic:blipFill>
                <pic:spPr bwMode="auto">
                  <a:xfrm>
                    <a:off x="0" y="0"/>
                    <a:ext cx="887095" cy="53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7C"/>
    <w:rsid w:val="00025A64"/>
    <w:rsid w:val="00060B62"/>
    <w:rsid w:val="000855C0"/>
    <w:rsid w:val="000934FB"/>
    <w:rsid w:val="000A7A0E"/>
    <w:rsid w:val="000E5469"/>
    <w:rsid w:val="001545F2"/>
    <w:rsid w:val="00162365"/>
    <w:rsid w:val="00197100"/>
    <w:rsid w:val="001B0ECA"/>
    <w:rsid w:val="001C1CD2"/>
    <w:rsid w:val="001E3B6F"/>
    <w:rsid w:val="001F3D3B"/>
    <w:rsid w:val="001F5C27"/>
    <w:rsid w:val="001F7AF2"/>
    <w:rsid w:val="00203DD1"/>
    <w:rsid w:val="0021579F"/>
    <w:rsid w:val="00223558"/>
    <w:rsid w:val="00257DC5"/>
    <w:rsid w:val="00273DAC"/>
    <w:rsid w:val="002C1DF9"/>
    <w:rsid w:val="002D29C4"/>
    <w:rsid w:val="002D68AD"/>
    <w:rsid w:val="00303C0C"/>
    <w:rsid w:val="00364425"/>
    <w:rsid w:val="00366208"/>
    <w:rsid w:val="003C4FCA"/>
    <w:rsid w:val="0041196E"/>
    <w:rsid w:val="00432497"/>
    <w:rsid w:val="00495D06"/>
    <w:rsid w:val="004A2F53"/>
    <w:rsid w:val="004B0AC8"/>
    <w:rsid w:val="005239A1"/>
    <w:rsid w:val="005319C6"/>
    <w:rsid w:val="0056504F"/>
    <w:rsid w:val="005A65EC"/>
    <w:rsid w:val="005A6F7D"/>
    <w:rsid w:val="005D014E"/>
    <w:rsid w:val="005D3367"/>
    <w:rsid w:val="005E417C"/>
    <w:rsid w:val="005E4308"/>
    <w:rsid w:val="00606DF0"/>
    <w:rsid w:val="00636FF2"/>
    <w:rsid w:val="00641626"/>
    <w:rsid w:val="006B08BE"/>
    <w:rsid w:val="006C7D48"/>
    <w:rsid w:val="006E6AE5"/>
    <w:rsid w:val="007263B1"/>
    <w:rsid w:val="00726B79"/>
    <w:rsid w:val="00733E98"/>
    <w:rsid w:val="00787D33"/>
    <w:rsid w:val="00790B51"/>
    <w:rsid w:val="007C3D05"/>
    <w:rsid w:val="007D302D"/>
    <w:rsid w:val="007F4411"/>
    <w:rsid w:val="00825EE8"/>
    <w:rsid w:val="00835B11"/>
    <w:rsid w:val="008579A3"/>
    <w:rsid w:val="008609DE"/>
    <w:rsid w:val="00884569"/>
    <w:rsid w:val="00897291"/>
    <w:rsid w:val="008A7315"/>
    <w:rsid w:val="008B200F"/>
    <w:rsid w:val="008D3C1A"/>
    <w:rsid w:val="008E41BA"/>
    <w:rsid w:val="009157E4"/>
    <w:rsid w:val="00926A68"/>
    <w:rsid w:val="00947F33"/>
    <w:rsid w:val="0098266D"/>
    <w:rsid w:val="009B073E"/>
    <w:rsid w:val="009C4E73"/>
    <w:rsid w:val="009C6D3F"/>
    <w:rsid w:val="009E6FDE"/>
    <w:rsid w:val="009F0F31"/>
    <w:rsid w:val="009F271A"/>
    <w:rsid w:val="00A1161B"/>
    <w:rsid w:val="00A21F67"/>
    <w:rsid w:val="00A8528D"/>
    <w:rsid w:val="00AC3DB0"/>
    <w:rsid w:val="00AD0EAA"/>
    <w:rsid w:val="00AE0D8B"/>
    <w:rsid w:val="00AE1E85"/>
    <w:rsid w:val="00B03DAC"/>
    <w:rsid w:val="00B10E5B"/>
    <w:rsid w:val="00BA0EFD"/>
    <w:rsid w:val="00BA7242"/>
    <w:rsid w:val="00BE16D4"/>
    <w:rsid w:val="00BE7089"/>
    <w:rsid w:val="00C14C2E"/>
    <w:rsid w:val="00C41CCC"/>
    <w:rsid w:val="00CD5A4E"/>
    <w:rsid w:val="00CE74E8"/>
    <w:rsid w:val="00CF46F3"/>
    <w:rsid w:val="00D2624F"/>
    <w:rsid w:val="00DA21EB"/>
    <w:rsid w:val="00EE0F91"/>
    <w:rsid w:val="00EF0B54"/>
    <w:rsid w:val="00F03FE8"/>
    <w:rsid w:val="00F24E99"/>
    <w:rsid w:val="00F27C16"/>
    <w:rsid w:val="00F6776F"/>
    <w:rsid w:val="00F81C6C"/>
    <w:rsid w:val="00FA7A4C"/>
    <w:rsid w:val="00FB27BC"/>
    <w:rsid w:val="00FF6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0DE4B5"/>
  <w15:chartTrackingRefBased/>
  <w15:docId w15:val="{536B0900-3D0B-4784-9226-95DBDE56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26A68"/>
    <w:pPr>
      <w:widowControl w:val="0"/>
      <w:autoSpaceDE w:val="0"/>
      <w:autoSpaceDN w:val="0"/>
      <w:jc w:val="both"/>
    </w:pPr>
    <w:rPr>
      <w:rFonts w:ascii="Arial" w:hAnsi="Arial" w:cs="Arial"/>
      <w:sz w:val="22"/>
      <w:szCs w:val="22"/>
      <w:lang w:eastAsia="de-AT"/>
    </w:rPr>
  </w:style>
  <w:style w:type="paragraph" w:styleId="berschrift1">
    <w:name w:val="heading 1"/>
    <w:basedOn w:val="Standard"/>
    <w:link w:val="berschrift1Zchn"/>
    <w:uiPriority w:val="9"/>
    <w:qFormat/>
    <w:rsid w:val="00926A68"/>
    <w:pPr>
      <w:ind w:left="111"/>
      <w:outlineLvl w:val="0"/>
    </w:pPr>
    <w:rPr>
      <w:rFonts w:ascii="Calibri" w:eastAsia="Calibri" w:hAnsi="Calibri" w:cs="Calibri"/>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styleId="Fuzeile">
    <w:name w:val="footer"/>
    <w:basedOn w:val="Standard"/>
    <w:pPr>
      <w:tabs>
        <w:tab w:val="center" w:pos="4536"/>
        <w:tab w:val="right" w:pos="9072"/>
      </w:tabs>
    </w:pPr>
  </w:style>
  <w:style w:type="character" w:styleId="Seitenzahl">
    <w:name w:val="page number"/>
    <w:rPr>
      <w:rFonts w:cs="Times New Roman"/>
    </w:rPr>
  </w:style>
  <w:style w:type="character" w:styleId="Kommentarzeichen">
    <w:name w:val="annotation reference"/>
    <w:semiHidden/>
    <w:rsid w:val="008A7315"/>
    <w:rPr>
      <w:rFonts w:cs="Times New Roman"/>
      <w:sz w:val="16"/>
      <w:szCs w:val="16"/>
    </w:rPr>
  </w:style>
  <w:style w:type="paragraph" w:styleId="Kommentartext">
    <w:name w:val="annotation text"/>
    <w:basedOn w:val="Standard"/>
    <w:semiHidden/>
    <w:rsid w:val="008A7315"/>
    <w:rPr>
      <w:sz w:val="20"/>
      <w:szCs w:val="20"/>
    </w:rPr>
  </w:style>
  <w:style w:type="paragraph" w:styleId="Kommentarthema">
    <w:name w:val="annotation subject"/>
    <w:basedOn w:val="Kommentartext"/>
    <w:next w:val="Kommentartext"/>
    <w:semiHidden/>
    <w:rsid w:val="008A7315"/>
    <w:rPr>
      <w:b/>
      <w:bCs/>
    </w:rPr>
  </w:style>
  <w:style w:type="paragraph" w:styleId="Sprechblasentext">
    <w:name w:val="Balloon Text"/>
    <w:basedOn w:val="Standard"/>
    <w:semiHidden/>
    <w:rsid w:val="008A7315"/>
    <w:rPr>
      <w:rFonts w:ascii="Tahoma" w:hAnsi="Tahoma" w:cs="Tahoma"/>
      <w:sz w:val="16"/>
      <w:szCs w:val="16"/>
    </w:rPr>
  </w:style>
  <w:style w:type="paragraph" w:styleId="Dokumentstruktur">
    <w:name w:val="Document Map"/>
    <w:basedOn w:val="Standard"/>
    <w:semiHidden/>
    <w:rsid w:val="0056504F"/>
    <w:pPr>
      <w:shd w:val="clear" w:color="auto" w:fill="000080"/>
    </w:pPr>
    <w:rPr>
      <w:rFonts w:ascii="Tahoma" w:hAnsi="Tahoma" w:cs="Tahoma"/>
      <w:sz w:val="20"/>
      <w:szCs w:val="20"/>
    </w:rPr>
  </w:style>
  <w:style w:type="paragraph" w:styleId="Kopfzeile">
    <w:name w:val="header"/>
    <w:basedOn w:val="Standard"/>
    <w:rsid w:val="00364425"/>
    <w:pPr>
      <w:tabs>
        <w:tab w:val="center" w:pos="4536"/>
        <w:tab w:val="right" w:pos="9072"/>
      </w:tabs>
    </w:pPr>
  </w:style>
  <w:style w:type="character" w:customStyle="1" w:styleId="berschrift1Zchn">
    <w:name w:val="Überschrift 1 Zchn"/>
    <w:basedOn w:val="Absatz-Standardschriftart"/>
    <w:link w:val="berschrift1"/>
    <w:uiPriority w:val="9"/>
    <w:rsid w:val="00926A68"/>
    <w:rPr>
      <w:rFonts w:ascii="Calibri" w:eastAsia="Calibri" w:hAnsi="Calibri" w:cs="Calibri"/>
      <w:b/>
      <w:bCs/>
      <w:lang w:val="en-US" w:eastAsia="en-US"/>
    </w:rPr>
  </w:style>
  <w:style w:type="table" w:customStyle="1" w:styleId="TableNormal">
    <w:name w:val="Table Normal"/>
    <w:uiPriority w:val="2"/>
    <w:semiHidden/>
    <w:unhideWhenUsed/>
    <w:qFormat/>
    <w:rsid w:val="00926A6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926A68"/>
    <w:pPr>
      <w:jc w:val="left"/>
    </w:pPr>
    <w:rPr>
      <w:rFonts w:ascii="Calibri" w:eastAsia="Calibri" w:hAnsi="Calibri" w:cs="Calibri"/>
      <w:sz w:val="20"/>
      <w:szCs w:val="20"/>
      <w:lang w:val="en-US" w:eastAsia="en-US"/>
    </w:rPr>
  </w:style>
  <w:style w:type="character" w:customStyle="1" w:styleId="TextkrperZchn">
    <w:name w:val="Textkörper Zchn"/>
    <w:basedOn w:val="Absatz-Standardschriftart"/>
    <w:link w:val="Textkrper"/>
    <w:uiPriority w:val="1"/>
    <w:rsid w:val="00926A68"/>
    <w:rPr>
      <w:rFonts w:ascii="Calibri" w:eastAsia="Calibri" w:hAnsi="Calibri" w:cs="Calibri"/>
      <w:lang w:val="en-US" w:eastAsia="en-US"/>
    </w:rPr>
  </w:style>
  <w:style w:type="paragraph" w:styleId="Listenabsatz">
    <w:name w:val="List Paragraph"/>
    <w:basedOn w:val="Standard"/>
    <w:uiPriority w:val="1"/>
    <w:qFormat/>
    <w:rsid w:val="00926A68"/>
    <w:pPr>
      <w:jc w:val="left"/>
    </w:pPr>
    <w:rPr>
      <w:rFonts w:ascii="Calibri" w:eastAsia="Calibri" w:hAnsi="Calibri" w:cs="Calibri"/>
      <w:lang w:val="en-US" w:eastAsia="en-US"/>
    </w:rPr>
  </w:style>
  <w:style w:type="paragraph" w:customStyle="1" w:styleId="TableParagraph">
    <w:name w:val="Table Paragraph"/>
    <w:basedOn w:val="Standard"/>
    <w:uiPriority w:val="1"/>
    <w:qFormat/>
    <w:rsid w:val="00926A68"/>
    <w:pPr>
      <w:jc w:val="left"/>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3473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DR. BENEDIKT WALLNER_RECHTSANWALT</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BENEDIKT WALLNER_RECHTSANWALT</dc:title>
  <dc:subject/>
  <dc:creator>STAMPFL</dc:creator>
  <cp:keywords/>
  <cp:lastModifiedBy>Mihaly Kovacs</cp:lastModifiedBy>
  <cp:revision>3</cp:revision>
  <cp:lastPrinted>2011-05-19T14:03:00Z</cp:lastPrinted>
  <dcterms:created xsi:type="dcterms:W3CDTF">2022-02-23T12:49:00Z</dcterms:created>
  <dcterms:modified xsi:type="dcterms:W3CDTF">2022-02-23T12:49:00Z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PScript5.dll Version 5.2.2</vt:lpwstr>
  </property>
  <property fmtid="{D5CDD505-2E9C-101B-9397-08002B2CF9AE}" pid="4" name="LastSaved">
    <vt:filetime>2021-01-29T00:00:00Z</vt:filetime>
  </property>
</Properties>
</file>